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4C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jc w:val="left"/>
        <w:textAlignment w:val="auto"/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3</w:t>
      </w:r>
    </w:p>
    <w:p w14:paraId="4EF3756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9" w:lineRule="exact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</w:p>
    <w:p w14:paraId="358EF46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茂林镇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整体支出绩效自评报告</w:t>
      </w:r>
    </w:p>
    <w:p w14:paraId="2BCEA62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9" w:lineRule="exact"/>
        <w:jc w:val="center"/>
        <w:textAlignment w:val="auto"/>
        <w:rPr>
          <w:rFonts w:ascii="Times New Roman" w:hAnsi="Times New Roman" w:eastAsia="方正小标宋_GBK" w:cs="Times New Roman"/>
          <w:sz w:val="52"/>
          <w:szCs w:val="52"/>
        </w:rPr>
      </w:pPr>
    </w:p>
    <w:p w14:paraId="0DA46C3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楷体" w:hAnsi="楷体" w:eastAsia="黑体"/>
          <w:b/>
          <w:spacing w:val="0"/>
          <w:sz w:val="32"/>
          <w:szCs w:val="21"/>
          <w:lang w:eastAsia="zh-CN"/>
        </w:rPr>
      </w:pPr>
      <w:r>
        <w:rPr>
          <w:rFonts w:hint="eastAsia" w:ascii="黑体" w:hAnsi="黑体" w:eastAsia="黑体" w:cs="黑体"/>
          <w:b w:val="0"/>
          <w:bCs/>
          <w:spacing w:val="0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/>
          <w:spacing w:val="0"/>
          <w:sz w:val="32"/>
          <w:szCs w:val="32"/>
          <w:lang w:eastAsia="zh-CN"/>
        </w:rPr>
        <w:t>预算基本情况</w:t>
      </w:r>
    </w:p>
    <w:p w14:paraId="4623C67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2024年年初安排一般公共预算拨款预算6588.512万元。年中预算调整993.185万元，其中：一般公共预算拨款875.879万元，政府性基金113.384万元，国有资本经营预算3.922万元。调整后一般公共预算拨款预算7581.697万元，其中：一般公共预算拨款7464.391万元，政府性基金113.384万元，国有资本经营预算3.922万元。实际支出数5908.27万元，其中：一般公共预算拨款5796.886万元，政府性基金113.384万元，预算执行率为77.93%。</w:t>
      </w:r>
    </w:p>
    <w:p w14:paraId="1AED6A7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579" w:lineRule="exact"/>
        <w:ind w:firstLine="640"/>
        <w:textAlignment w:val="auto"/>
        <w:rPr>
          <w:rFonts w:hint="eastAsia" w:ascii="黑体" w:hAnsi="黑体" w:eastAsia="黑体" w:cs="黑体"/>
          <w:b w:val="0"/>
          <w:bCs/>
          <w:spacing w:val="-2"/>
          <w:sz w:val="32"/>
          <w:szCs w:val="21"/>
          <w:lang w:eastAsia="zh-CN"/>
        </w:rPr>
      </w:pPr>
      <w:r>
        <w:rPr>
          <w:rFonts w:hint="eastAsia" w:ascii="黑体" w:hAnsi="黑体" w:eastAsia="黑体" w:cs="黑体"/>
          <w:b w:val="0"/>
          <w:bCs/>
          <w:spacing w:val="-2"/>
          <w:sz w:val="32"/>
          <w:szCs w:val="32"/>
        </w:rPr>
        <w:t>二、</w:t>
      </w:r>
      <w:r>
        <w:rPr>
          <w:rFonts w:hint="eastAsia" w:ascii="黑体" w:hAnsi="黑体" w:eastAsia="黑体" w:cs="黑体"/>
          <w:b w:val="0"/>
          <w:bCs/>
          <w:spacing w:val="-2"/>
          <w:sz w:val="32"/>
          <w:szCs w:val="32"/>
          <w:lang w:eastAsia="zh-CN"/>
        </w:rPr>
        <w:t>自评工作开展情况</w:t>
      </w:r>
    </w:p>
    <w:p w14:paraId="5A1D16F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outlineLvl w:val="0"/>
        <w:rPr>
          <w:rFonts w:hint="default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为进一步提高财政资金使用效益，压实资金使用单位支出责任，根据《玉林市财政局关于开展2024年度市直部门预算绩效自评工作的通知》（玉市财绩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〔202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号）和《玉林市玉东新区财政局关于开展2024年度区直财政预算绩效自评工作的通知》（玉东财预〔2025〕7号）等有关文件精神，根据2025年玉东新区财政局对于预算管理和预算绩效目标管理的要求，对设定的绩效目标开展绩效运行跟踪监控，梳理年度部门整体支出情况，组织人员开展绩效自评工作，并及时报送相关自评材料。</w:t>
      </w:r>
    </w:p>
    <w:p w14:paraId="76D6F55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579" w:lineRule="exact"/>
        <w:ind w:firstLine="640"/>
        <w:textAlignment w:val="auto"/>
        <w:rPr>
          <w:rFonts w:hint="eastAsia" w:ascii="黑体" w:hAnsi="黑体" w:eastAsia="黑体" w:cs="黑体"/>
          <w:b w:val="0"/>
          <w:bCs/>
          <w:spacing w:val="-2"/>
          <w:sz w:val="32"/>
          <w:szCs w:val="21"/>
          <w:lang w:eastAsia="zh-CN"/>
        </w:rPr>
      </w:pPr>
      <w:r>
        <w:rPr>
          <w:rFonts w:hint="eastAsia" w:ascii="黑体" w:hAnsi="黑体" w:eastAsia="黑体" w:cs="黑体"/>
          <w:b w:val="0"/>
          <w:bCs/>
          <w:spacing w:val="-2"/>
          <w:sz w:val="32"/>
          <w:szCs w:val="32"/>
        </w:rPr>
        <w:t>三、</w:t>
      </w:r>
      <w:r>
        <w:rPr>
          <w:rFonts w:hint="eastAsia" w:ascii="黑体" w:hAnsi="黑体" w:eastAsia="黑体" w:cs="黑体"/>
          <w:b w:val="0"/>
          <w:bCs/>
          <w:spacing w:val="-2"/>
          <w:sz w:val="32"/>
          <w:szCs w:val="32"/>
          <w:lang w:eastAsia="zh-CN"/>
        </w:rPr>
        <w:t>自评结果及分析</w:t>
      </w:r>
    </w:p>
    <w:p w14:paraId="1317D9D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预算执行情况：预算执行率77.93%，分值权重设定值10分，自评得分7.79分。</w:t>
      </w:r>
    </w:p>
    <w:p w14:paraId="1A57CE6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指标完成情况：</w:t>
      </w:r>
    </w:p>
    <w:p w14:paraId="246C5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color w:val="000000"/>
          <w:sz w:val="32"/>
          <w:szCs w:val="32"/>
          <w:lang w:val="en-US" w:eastAsia="zh-CN"/>
        </w:rPr>
        <w:t>（一）产出指标</w:t>
      </w:r>
    </w:p>
    <w:p w14:paraId="62952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1.数量指标：</w:t>
      </w:r>
    </w:p>
    <w:p w14:paraId="2C7AF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（1）开展各类普法、安全生产宣传活动次数4次；</w:t>
      </w:r>
    </w:p>
    <w:p w14:paraId="36F6B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（2）配合玉东新区推进项目征拆、建设个数6个；</w:t>
      </w:r>
    </w:p>
    <w:p w14:paraId="41EF9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（3）发展村级集体经济达到5万元以上的社区个数12个；</w:t>
      </w:r>
    </w:p>
    <w:p w14:paraId="71D33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（4）清理河道长度36公里；偏差原因及改进措施：财政资金紧张，没有资金经常开展清理河道工作，次数减少。今后积极争取上级资金支持，同时想方设法推进工作落实完成。</w:t>
      </w:r>
    </w:p>
    <w:p w14:paraId="77DAF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（5）救助特困人员数量312个；</w:t>
      </w:r>
    </w:p>
    <w:p w14:paraId="6583F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（6）每月送教上门次数1次；</w:t>
      </w:r>
    </w:p>
    <w:p w14:paraId="1664C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（7）每月开展清河行动次数1次。</w:t>
      </w:r>
    </w:p>
    <w:p w14:paraId="1EDA6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2.质量指标：</w:t>
      </w:r>
    </w:p>
    <w:p w14:paraId="27DF6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（1）全镇粮食种植任务完成率100%；</w:t>
      </w:r>
    </w:p>
    <w:p w14:paraId="3F8B8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（2）各类补助资金发放到位率100%；</w:t>
      </w:r>
    </w:p>
    <w:p w14:paraId="22BB2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（3）安全生产排查发现隐患整改完成率100%；</w:t>
      </w:r>
    </w:p>
    <w:p w14:paraId="171E6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（4）图斑内撂荒地治理任务完成率84.2%；偏差原因及改进措施：撂荒耕地图斑治理任务目标有所调整，已完成任务。今后将更加合理设置指标。</w:t>
      </w:r>
    </w:p>
    <w:p w14:paraId="4F4950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（5）各类矛盾纠纷案件化解率100%。</w:t>
      </w:r>
    </w:p>
    <w:p w14:paraId="0673B6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3.时效指标：</w:t>
      </w:r>
    </w:p>
    <w:p w14:paraId="36050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（1）各类信访件办结及时率100%；</w:t>
      </w:r>
    </w:p>
    <w:p w14:paraId="7ECCB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（2）低保救助资金、特困人员供养费发放及时率100%；</w:t>
      </w:r>
    </w:p>
    <w:p w14:paraId="73376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（3）残疾人补贴发放及时率100%；</w:t>
      </w:r>
    </w:p>
    <w:p w14:paraId="0DEC9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（4）事实无人抚养儿童、散居孤儿补助资金发放及时率100%。</w:t>
      </w:r>
    </w:p>
    <w:p w14:paraId="4507B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4.成本指标：</w:t>
      </w:r>
    </w:p>
    <w:p w14:paraId="7E7D3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（1）基本支出超支率0%；</w:t>
      </w:r>
    </w:p>
    <w:p w14:paraId="2E77F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（2）项目支出超支率0%。</w:t>
      </w:r>
    </w:p>
    <w:p w14:paraId="0981F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color w:val="000000"/>
          <w:sz w:val="32"/>
          <w:szCs w:val="32"/>
          <w:lang w:val="en-US" w:eastAsia="zh-CN"/>
        </w:rPr>
        <w:t>（二）效益指标</w:t>
      </w:r>
    </w:p>
    <w:p w14:paraId="073EA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1.经济效益指标：</w:t>
      </w:r>
    </w:p>
    <w:p w14:paraId="269B3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城镇居民人均可支配收入增长率4.7%；偏差原因及改进措施：城镇居民人均可支配收入取得较大增长。今后更加合理设置指标。</w:t>
      </w:r>
    </w:p>
    <w:p w14:paraId="4E1D1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2.社会效益指标：</w:t>
      </w:r>
    </w:p>
    <w:p w14:paraId="32A0F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（1）粮食总产量较往年有所增长；</w:t>
      </w:r>
    </w:p>
    <w:p w14:paraId="5277A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（2）区域内重大安全事故发生率0%；</w:t>
      </w:r>
    </w:p>
    <w:p w14:paraId="1FC61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（3）改善乡村风貌，维护良好村容村貌；</w:t>
      </w:r>
    </w:p>
    <w:p w14:paraId="166F7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（4）保障人民群众基本权益，传递关心、关怀；</w:t>
      </w:r>
    </w:p>
    <w:p w14:paraId="33863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（5）维护区域内治安稳定，提升群众安全感；</w:t>
      </w:r>
    </w:p>
    <w:p w14:paraId="6DA32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（6）规范农村建房用地情况，减少违法用地；</w:t>
      </w:r>
    </w:p>
    <w:p w14:paraId="5550C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（7）抓好水环境治理，推进南流江流域综合治理。</w:t>
      </w:r>
    </w:p>
    <w:p w14:paraId="2BB3C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3.可持续影响指标：</w:t>
      </w:r>
    </w:p>
    <w:p w14:paraId="7CB71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持续保障群众生命财产安全。</w:t>
      </w:r>
    </w:p>
    <w:p w14:paraId="527E9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color w:val="000000"/>
          <w:sz w:val="32"/>
          <w:szCs w:val="32"/>
          <w:lang w:val="en-US" w:eastAsia="zh-CN"/>
        </w:rPr>
        <w:t>（三）满意度指标</w:t>
      </w:r>
    </w:p>
    <w:p w14:paraId="37C1D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满意度指标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：群众满意度98.55%。</w:t>
      </w:r>
    </w:p>
    <w:p w14:paraId="43798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64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  <w:lang w:val="en-US" w:eastAsia="zh-CN"/>
        </w:rPr>
        <w:t>四、存在的主要问题</w:t>
      </w:r>
    </w:p>
    <w:p w14:paraId="11390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64" w:firstLineChars="200"/>
        <w:jc w:val="left"/>
        <w:textAlignment w:val="auto"/>
        <w:rPr>
          <w:rFonts w:hint="eastAsia" w:ascii="仿宋_GB2312" w:hAnsi="黑体" w:eastAsia="仿宋_GB2312"/>
          <w:b w:val="0"/>
          <w:bCs w:val="0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bCs w:val="0"/>
          <w:spacing w:val="6"/>
          <w:sz w:val="32"/>
          <w:szCs w:val="32"/>
          <w:lang w:val="en-US" w:eastAsia="zh-CN"/>
        </w:rPr>
        <w:t>1.由于财政紧张，一些项目预算缩减或被砍，导致部分工作没有足够的资金支撑，难以顺利开展，资金拨付存在困难；</w:t>
      </w:r>
    </w:p>
    <w:p w14:paraId="02B36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64" w:firstLineChars="200"/>
        <w:jc w:val="left"/>
        <w:textAlignment w:val="auto"/>
        <w:rPr>
          <w:rFonts w:hint="eastAsia" w:ascii="仿宋_GB2312" w:hAnsi="黑体" w:eastAsia="仿宋_GB2312"/>
          <w:b w:val="0"/>
          <w:bCs w:val="0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bCs w:val="0"/>
          <w:spacing w:val="6"/>
          <w:sz w:val="32"/>
          <w:szCs w:val="32"/>
          <w:lang w:val="en-US" w:eastAsia="zh-CN"/>
        </w:rPr>
        <w:t>2.在年初预算编制时个别项目预算规划考虑不全，导致本年度使用资金不足，不利于推进项目建设，达成年度目标；</w:t>
      </w:r>
    </w:p>
    <w:p w14:paraId="6A0387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64" w:firstLineChars="200"/>
        <w:jc w:val="left"/>
        <w:textAlignment w:val="auto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仿宋_GB2312" w:hAnsi="黑体" w:eastAsia="仿宋_GB2312"/>
          <w:b w:val="0"/>
          <w:bCs w:val="0"/>
          <w:spacing w:val="6"/>
          <w:sz w:val="32"/>
          <w:szCs w:val="32"/>
          <w:lang w:val="en-US" w:eastAsia="zh-CN"/>
        </w:rPr>
        <w:t>3.存在部分资金使用进度缓慢，资金使用率不高等问题。</w:t>
      </w:r>
    </w:p>
    <w:p w14:paraId="6B70D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64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  <w:lang w:val="en-US" w:eastAsia="zh-CN"/>
        </w:rPr>
        <w:t>五、改进措施和有关建议</w:t>
      </w:r>
    </w:p>
    <w:p w14:paraId="5EC21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64" w:firstLineChars="200"/>
        <w:jc w:val="left"/>
        <w:textAlignment w:val="auto"/>
        <w:rPr>
          <w:rFonts w:hint="eastAsia" w:ascii="仿宋_GB2312" w:hAnsi="黑体" w:eastAsia="仿宋_GB2312" w:cs="Times New Roman"/>
          <w:b w:val="0"/>
          <w:bCs w:val="0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b w:val="0"/>
          <w:bCs w:val="0"/>
          <w:spacing w:val="6"/>
          <w:sz w:val="32"/>
          <w:szCs w:val="32"/>
          <w:lang w:val="en-US" w:eastAsia="zh-CN"/>
        </w:rPr>
        <w:t>1.提前做好项目预算规划，全面考虑资金用途及内容，做足年初预算编制，保证项目资金充足，确保项目顺利开展</w:t>
      </w:r>
      <w:bookmarkStart w:id="0" w:name="_GoBack"/>
      <w:bookmarkEnd w:id="0"/>
      <w:r>
        <w:rPr>
          <w:rFonts w:hint="eastAsia" w:ascii="仿宋_GB2312" w:hAnsi="黑体" w:eastAsia="仿宋_GB2312" w:cs="Times New Roman"/>
          <w:b w:val="0"/>
          <w:bCs w:val="0"/>
          <w:spacing w:val="6"/>
          <w:sz w:val="32"/>
          <w:szCs w:val="32"/>
          <w:lang w:val="en-US" w:eastAsia="zh-CN"/>
        </w:rPr>
        <w:t>；</w:t>
      </w:r>
    </w:p>
    <w:p w14:paraId="1ED63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9" w:lineRule="exact"/>
        <w:ind w:firstLine="664" w:firstLineChars="200"/>
        <w:jc w:val="left"/>
        <w:textAlignment w:val="auto"/>
        <w:rPr>
          <w:rFonts w:hint="eastAsia" w:ascii="仿宋_GB2312" w:hAnsi="黑体" w:eastAsia="仿宋_GB2312" w:cs="Times New Roman"/>
          <w:b w:val="0"/>
          <w:bCs w:val="0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b w:val="0"/>
          <w:bCs w:val="0"/>
          <w:spacing w:val="6"/>
          <w:sz w:val="32"/>
          <w:szCs w:val="32"/>
          <w:lang w:val="en-US" w:eastAsia="zh-CN"/>
        </w:rPr>
        <w:t>2.合理安排支出结构，提高资金使用效率，加快资金拨付进度，提高项目工作效率，确保项目按照计划进度推进；</w:t>
      </w:r>
    </w:p>
    <w:p w14:paraId="6536B7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64" w:firstLineChars="200"/>
        <w:textAlignment w:val="auto"/>
        <w:rPr>
          <w:rFonts w:hint="eastAsia" w:ascii="仿宋_GB2312" w:hAnsi="黑体" w:eastAsia="仿宋_GB2312" w:cs="Times New Roman"/>
          <w:b w:val="0"/>
          <w:bCs w:val="0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b w:val="0"/>
          <w:bCs w:val="0"/>
          <w:spacing w:val="6"/>
          <w:sz w:val="32"/>
          <w:szCs w:val="32"/>
          <w:lang w:val="en-US" w:eastAsia="zh-CN"/>
        </w:rPr>
        <w:t>3.加强预算执行管理，严格按批复的预算、费用支出范围标准和定额安排支出。</w:t>
      </w:r>
    </w:p>
    <w:p w14:paraId="53AD99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64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pacing w:val="6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pacing w:val="6"/>
          <w:sz w:val="32"/>
          <w:szCs w:val="32"/>
          <w:lang w:val="en-US" w:eastAsia="zh-CN"/>
        </w:rPr>
        <w:t>六、绩效自评结果拟应用和公开情况</w:t>
      </w:r>
    </w:p>
    <w:p w14:paraId="3EB39A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64" w:firstLineChars="200"/>
        <w:textAlignment w:val="auto"/>
        <w:rPr>
          <w:rFonts w:hint="eastAsia" w:ascii="仿宋_GB2312" w:hAnsi="黑体" w:eastAsia="仿宋_GB2312" w:cs="Times New Roman"/>
          <w:b w:val="0"/>
          <w:bCs w:val="0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b w:val="0"/>
          <w:bCs w:val="0"/>
          <w:spacing w:val="6"/>
          <w:sz w:val="32"/>
          <w:szCs w:val="32"/>
          <w:lang w:val="en-US" w:eastAsia="zh-CN"/>
        </w:rPr>
        <w:t>（一）自评结果拟应用情况。无。</w:t>
      </w:r>
    </w:p>
    <w:p w14:paraId="7DAD98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64" w:firstLineChars="200"/>
        <w:textAlignment w:val="auto"/>
        <w:rPr>
          <w:rFonts w:hint="eastAsia" w:ascii="仿宋_GB2312" w:hAnsi="黑体" w:eastAsia="仿宋_GB2312" w:cs="Times New Roman"/>
          <w:b w:val="0"/>
          <w:bCs w:val="0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b w:val="0"/>
          <w:bCs w:val="0"/>
          <w:spacing w:val="6"/>
          <w:sz w:val="32"/>
          <w:szCs w:val="32"/>
          <w:lang w:val="en-US" w:eastAsia="zh-CN"/>
        </w:rPr>
        <w:t>（二）自评结果拟公开情况。无。</w:t>
      </w:r>
    </w:p>
    <w:p w14:paraId="0D1C34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64" w:firstLineChars="200"/>
        <w:textAlignment w:val="auto"/>
        <w:rPr>
          <w:rFonts w:hint="eastAsia" w:ascii="仿宋_GB2312" w:hAnsi="黑体" w:eastAsia="仿宋_GB2312" w:cs="Times New Roman"/>
          <w:b w:val="0"/>
          <w:bCs w:val="0"/>
          <w:spacing w:val="6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pacing w:val="6"/>
          <w:sz w:val="32"/>
          <w:szCs w:val="32"/>
          <w:lang w:val="en-US" w:eastAsia="zh-CN"/>
        </w:rPr>
        <w:t>七、其他需要说明的问题。</w:t>
      </w:r>
      <w:r>
        <w:rPr>
          <w:rFonts w:hint="eastAsia" w:ascii="仿宋_GB2312" w:hAnsi="黑体" w:eastAsia="仿宋_GB2312" w:cs="Times New Roman"/>
          <w:b w:val="0"/>
          <w:bCs w:val="0"/>
          <w:spacing w:val="6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7130B03050D01022387"/>
    <w:charset w:val="86"/>
    <w:family w:val="auto"/>
    <w:pitch w:val="default"/>
    <w:sig w:usb0="1D0C5506" w:usb1="58240219" w:usb2="201F2506" w:usb3="05010108" w:csb0="00170043" w:csb1="00003707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6EE9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-146050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9C20DB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1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WFz161AAAAAgBAAAPAAAAAAAAAAEAIAAAACIAAABkcnMvZG93bnJldi54bWxQSwEC&#10;FAAUAAAACACHTuJAa4X5+zECAABh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9C20DB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YWE5MjI3MmI2ZTJjMDFmYmNjNTEzZTA0MzdmOTMifQ=="/>
  </w:docVars>
  <w:rsids>
    <w:rsidRoot w:val="32236FDE"/>
    <w:rsid w:val="16DF7EA6"/>
    <w:rsid w:val="184D1EFD"/>
    <w:rsid w:val="28D87E2F"/>
    <w:rsid w:val="32236FDE"/>
    <w:rsid w:val="3B7F6CF4"/>
    <w:rsid w:val="469D6DA7"/>
    <w:rsid w:val="5F9152B8"/>
    <w:rsid w:val="62F4361F"/>
    <w:rsid w:val="72D26A93"/>
    <w:rsid w:val="7FFC7882"/>
    <w:rsid w:val="DFB778CA"/>
    <w:rsid w:val="F7F6D357"/>
    <w:rsid w:val="F87FE71E"/>
    <w:rsid w:val="FADB8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hint="eastAsia" w:ascii="华文中宋" w:hAnsi="华文中宋" w:eastAsia="华文中宋"/>
      <w:sz w:val="36"/>
      <w:szCs w:val="3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1521</Words>
  <Characters>1684</Characters>
  <Lines>0</Lines>
  <Paragraphs>0</Paragraphs>
  <TotalTime>0</TotalTime>
  <ScaleCrop>false</ScaleCrop>
  <LinksUpToDate>false</LinksUpToDate>
  <CharactersWithSpaces>1684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2023-03-29T00:14:00Z</dcterms:created>
  <dc:creator>刘彦</dc:creator>
  <cp:lastModifiedBy>gxxc</cp:lastModifiedBy>
  <cp:lastPrinted>2023-03-30T19:24:00Z</cp:lastPrinted>
  <dcterms:modified xsi:type="dcterms:W3CDTF">2025-09-30T10:02:59Z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8EBF3D8BE2934BFA9A173E202FEAD6E3_13</vt:lpwstr>
  </property>
  <property fmtid="{D5CDD505-2E9C-101B-9397-08002B2CF9AE}" pid="4" name="KSOTemplateDocerSaveRecord">
    <vt:lpwstr>eyJoZGlkIjoiZTEzYWE5MjI3MmI2ZTJjMDFmYmNjNTEzZTA0MzdmOTMiLCJ1c2VySWQiOiIxNjAzMzg0NzMyIn0=</vt:lpwstr>
  </property>
</Properties>
</file>