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879999">
      <w:pPr>
        <w:jc w:val="center"/>
        <w:rPr>
          <w:rFonts w:ascii="Times New Roman" w:hAnsi="Times New Roman" w:eastAsia="方正小标宋_GBK" w:cs="Times New Roman"/>
          <w:sz w:val="52"/>
          <w:szCs w:val="52"/>
        </w:rPr>
      </w:pPr>
      <w:r>
        <w:rPr>
          <w:rFonts w:ascii="Times New Roman" w:hAnsi="Times New Roman" w:eastAsia="方正小标宋_GBK" w:cs="Times New Roman"/>
          <w:sz w:val="52"/>
          <w:szCs w:val="52"/>
        </w:rPr>
        <w:t>202</w:t>
      </w:r>
      <w:r>
        <w:rPr>
          <w:rFonts w:hint="eastAsia" w:eastAsia="方正小标宋_GBK" w:cs="Times New Roman"/>
          <w:sz w:val="52"/>
          <w:szCs w:val="52"/>
          <w:lang w:val="en-US" w:eastAsia="zh-CN"/>
        </w:rPr>
        <w:t>3</w:t>
      </w:r>
      <w:r>
        <w:rPr>
          <w:rFonts w:ascii="Times New Roman" w:hAnsi="Times New Roman" w:eastAsia="方正小标宋_GBK" w:cs="Times New Roman"/>
          <w:sz w:val="52"/>
          <w:szCs w:val="52"/>
        </w:rPr>
        <w:t>年度</w:t>
      </w:r>
    </w:p>
    <w:p w14:paraId="730033B7">
      <w:pPr>
        <w:jc w:val="center"/>
        <w:rPr>
          <w:rFonts w:hint="eastAsia" w:eastAsia="方正小标宋_GBK" w:cs="Times New Roman"/>
          <w:sz w:val="52"/>
          <w:szCs w:val="52"/>
          <w:lang w:eastAsia="zh-CN"/>
        </w:rPr>
      </w:pPr>
      <w:r>
        <w:rPr>
          <w:rFonts w:hint="eastAsia" w:eastAsia="方正小标宋_GBK" w:cs="Times New Roman"/>
          <w:sz w:val="52"/>
          <w:szCs w:val="52"/>
          <w:lang w:eastAsia="zh-CN"/>
        </w:rPr>
        <w:t>玉林市玉东新区城市管理监督局</w:t>
      </w:r>
    </w:p>
    <w:p w14:paraId="165ACA87">
      <w:pPr>
        <w:jc w:val="center"/>
        <w:rPr>
          <w:rFonts w:ascii="Times New Roman" w:hAnsi="Times New Roman" w:eastAsia="方正小标宋_GBK" w:cs="Times New Roman"/>
          <w:sz w:val="52"/>
          <w:szCs w:val="52"/>
        </w:rPr>
      </w:pPr>
      <w:r>
        <w:rPr>
          <w:rFonts w:ascii="Times New Roman" w:hAnsi="Times New Roman" w:eastAsia="方正小标宋_GBK" w:cs="Times New Roman"/>
          <w:sz w:val="52"/>
          <w:szCs w:val="52"/>
        </w:rPr>
        <w:t>整体支出绩效自评报告</w:t>
      </w:r>
    </w:p>
    <w:p w14:paraId="212BE0AC">
      <w:pPr>
        <w:jc w:val="both"/>
        <w:rPr>
          <w:rFonts w:ascii="Times New Roman" w:hAnsi="Times New Roman" w:eastAsia="楷体_GB2312" w:cs="Times New Roman"/>
          <w:b/>
          <w:sz w:val="32"/>
          <w:szCs w:val="32"/>
        </w:rPr>
      </w:pPr>
    </w:p>
    <w:p w14:paraId="665D9421"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7A3CFE43"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74A40F97"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1F12138C"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2EF9552E"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2F71DF62"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5130E5EA">
      <w:pPr>
        <w:jc w:val="both"/>
        <w:rPr>
          <w:rFonts w:ascii="Times New Roman" w:hAnsi="Times New Roman" w:eastAsia="黑体" w:cs="Times New Roman"/>
          <w:sz w:val="32"/>
          <w:szCs w:val="32"/>
        </w:rPr>
      </w:pPr>
    </w:p>
    <w:p w14:paraId="2CDC3731">
      <w:pPr>
        <w:jc w:val="center"/>
        <w:rPr>
          <w:rFonts w:ascii="Times New Roman" w:hAnsi="Times New Roman" w:eastAsia="黑体" w:cs="Times New Roman"/>
          <w:sz w:val="32"/>
          <w:szCs w:val="32"/>
        </w:rPr>
      </w:pPr>
    </w:p>
    <w:p w14:paraId="2CAB286A">
      <w:pPr>
        <w:spacing w:line="600" w:lineRule="exact"/>
        <w:jc w:val="center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</w:rPr>
        <w:t>单位名称：</w:t>
      </w:r>
      <w:r>
        <w:rPr>
          <w:rFonts w:hint="eastAsia" w:eastAsia="仿宋_GB2312" w:cs="Times New Roman"/>
          <w:sz w:val="32"/>
          <w:szCs w:val="32"/>
          <w:u w:val="single"/>
          <w:lang w:eastAsia="zh-CN"/>
        </w:rPr>
        <w:t>玉林市玉东新区城市管理监督局</w:t>
      </w:r>
    </w:p>
    <w:p w14:paraId="7A75D146">
      <w:pPr>
        <w:spacing w:line="600" w:lineRule="exact"/>
        <w:ind w:firstLine="4800" w:firstLineChars="1500"/>
        <w:jc w:val="both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hint="eastAsia" w:eastAsia="楷体_GB2312" w:cs="Times New Roman"/>
          <w:sz w:val="32"/>
          <w:szCs w:val="32"/>
          <w:lang w:val="en-US" w:eastAsia="zh-CN"/>
        </w:rPr>
        <w:t>2024</w:t>
      </w:r>
      <w:r>
        <w:rPr>
          <w:rFonts w:ascii="Times New Roman" w:hAnsi="Times New Roman" w:eastAsia="楷体_GB2312" w:cs="Times New Roman"/>
          <w:sz w:val="32"/>
          <w:szCs w:val="32"/>
        </w:rPr>
        <w:t>年</w:t>
      </w:r>
      <w:r>
        <w:rPr>
          <w:rFonts w:hint="eastAsia" w:eastAsia="楷体_GB2312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楷体_GB2312" w:cs="Times New Roman"/>
          <w:sz w:val="32"/>
          <w:szCs w:val="32"/>
        </w:rPr>
        <w:t>月</w:t>
      </w:r>
      <w:r>
        <w:rPr>
          <w:rFonts w:hint="eastAsia" w:eastAsia="楷体_GB2312" w:cs="Times New Roman"/>
          <w:sz w:val="32"/>
          <w:szCs w:val="32"/>
          <w:lang w:val="en-US" w:eastAsia="zh-CN"/>
        </w:rPr>
        <w:t>28</w:t>
      </w:r>
      <w:r>
        <w:rPr>
          <w:rFonts w:ascii="Times New Roman" w:hAnsi="Times New Roman" w:eastAsia="楷体_GB2312" w:cs="Times New Roman"/>
          <w:sz w:val="32"/>
          <w:szCs w:val="32"/>
        </w:rPr>
        <w:t>日</w:t>
      </w:r>
    </w:p>
    <w:p w14:paraId="45806196">
      <w:pPr>
        <w:jc w:val="center"/>
      </w:pPr>
    </w:p>
    <w:p w14:paraId="3E9328F8"/>
    <w:p w14:paraId="10607C80"/>
    <w:p w14:paraId="6E55FD34"/>
    <w:p w14:paraId="18B5A647"/>
    <w:p w14:paraId="0736ACE8"/>
    <w:p w14:paraId="6A70AA57"/>
    <w:p w14:paraId="53B90A3A"/>
    <w:p w14:paraId="10DFF948"/>
    <w:p w14:paraId="554214B7"/>
    <w:p w14:paraId="6E2E0E2B"/>
    <w:p w14:paraId="193F384F"/>
    <w:p w14:paraId="30F1DA1C"/>
    <w:p w14:paraId="6D8CB6BB"/>
    <w:p w14:paraId="30F54306">
      <w:pPr>
        <w:widowControl/>
        <w:shd w:val="clear" w:color="auto" w:fill="FFFFFF"/>
        <w:spacing w:line="600" w:lineRule="atLeast"/>
        <w:ind w:firstLine="640"/>
        <w:rPr>
          <w:rFonts w:hint="eastAsia" w:ascii="仿宋" w:hAnsi="仿宋" w:eastAsia="仿宋" w:cs="仿宋"/>
          <w:b/>
          <w:spacing w:val="-2"/>
          <w:sz w:val="32"/>
          <w:szCs w:val="21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一、部门概况</w:t>
      </w:r>
    </w:p>
    <w:p w14:paraId="12FEE492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城市管理监督局基本职能主要负责新区城市管理（含市容和环境卫生、市政工程、园林绿化、城市照明、城市管理行政执法等）、交通运输等工作。起草城市管理方面的规范性文件，经新区管委批准后实施。按管理权限组织实施城市管理方面的管理标准。负责新区城市市容、环境卫生、道路、路灯、园林、绿化的管理工作；参与编制和制定新区市容和环境卫生管理规章制度、工作计划并组织实施；对新区的市容和环境卫生工作进行检查、监督和指导；负责对新区“门前三包”工作进行指导、监督和考评，提出新区道路、广场等公共空间环境的美化管理意见；负责新区临时占用城市道路、广场等公共户外广告设置、城市环卫设施拆除的许可及城市建筑垃圾处置的核准；负责新区市政工程新建、改建和大修工作的管理工作；负责新区已建成的城市市政设施的维护和管理；根据市主管部门授权负责新区市政设施、园林绿化、环境卫生管理方面的行政执法工作。负责新区智慧城市建设管理工作。负责新区交通运输管理工作，负责新区公路发展规划、建设、养护管理工作，负责公路建设、养护工程安全、质量监督、交（竣）工验收等管理工作。完成新区工委管委布置的其他工作任务。</w:t>
      </w:r>
    </w:p>
    <w:p w14:paraId="38920D02">
      <w:pPr>
        <w:numPr>
          <w:ilvl w:val="0"/>
          <w:numId w:val="1"/>
        </w:numPr>
        <w:ind w:firstLine="635" w:firstLineChars="200"/>
        <w:rPr>
          <w:rFonts w:hint="eastAsia" w:ascii="仿宋" w:hAnsi="仿宋" w:eastAsia="仿宋" w:cs="仿宋"/>
          <w:b/>
          <w:spacing w:val="-2"/>
          <w:sz w:val="32"/>
          <w:szCs w:val="32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部门整体支出管理及使用情况</w:t>
      </w:r>
    </w:p>
    <w:p w14:paraId="11BE31C1">
      <w:pPr>
        <w:widowControl/>
        <w:shd w:val="clear" w:color="auto" w:fill="FFFFFF"/>
        <w:spacing w:line="600" w:lineRule="atLeast"/>
        <w:ind w:firstLine="635" w:firstLineChars="200"/>
        <w:rPr>
          <w:rFonts w:hint="eastAsia" w:ascii="仿宋" w:hAnsi="仿宋" w:eastAsia="仿宋" w:cs="仿宋"/>
          <w:b/>
          <w:spacing w:val="-2"/>
          <w:sz w:val="32"/>
          <w:szCs w:val="21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（一）基本支出</w:t>
      </w:r>
    </w:p>
    <w:p w14:paraId="3867E9FC">
      <w:pPr>
        <w:spacing w:line="560" w:lineRule="exact"/>
        <w:ind w:firstLine="640" w:firstLineChars="200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1、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年部门预算收入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1197.03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万元，其中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本部门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年度总支出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1197.03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万元，其中社会保障和就业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6.71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万元,城乡社区支出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1120.59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万元。主要用于城市管理、综合行政执法、加强城市市容和环境卫生管理等方面的开支.医疗卫生与计划生育支出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9.42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万元，住房保障支出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3.35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城市管理监督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局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一般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公共预算支出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741.81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万元,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城市管理监督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局20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年度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一般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公共预算支出年初预算为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995.10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万元，支出决算为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741.81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万元，完成年初预算的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74.54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%。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城市管理监督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局20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年度政府性基金支出年初预算为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779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万元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,支出决算为445.21万元，完成年初预算的57.15%。</w:t>
      </w:r>
    </w:p>
    <w:p w14:paraId="5D331414">
      <w:pPr>
        <w:numPr>
          <w:ilvl w:val="0"/>
          <w:numId w:val="0"/>
        </w:numPr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2、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202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年度“三公经费”预算为0万元，实际支出为0元。</w:t>
      </w:r>
    </w:p>
    <w:p w14:paraId="7115EF72">
      <w:pPr>
        <w:widowControl/>
        <w:numPr>
          <w:ilvl w:val="0"/>
          <w:numId w:val="2"/>
        </w:numPr>
        <w:shd w:val="clear" w:color="auto" w:fill="FFFFFF"/>
        <w:spacing w:line="600" w:lineRule="atLeast"/>
        <w:ind w:firstLine="643"/>
        <w:rPr>
          <w:rFonts w:hint="eastAsia" w:ascii="仿宋" w:hAnsi="仿宋" w:eastAsia="仿宋" w:cs="仿宋"/>
          <w:b/>
          <w:spacing w:val="-2"/>
          <w:sz w:val="32"/>
          <w:szCs w:val="32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  <w:t>项目</w:t>
      </w: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支出</w:t>
      </w:r>
    </w:p>
    <w:p w14:paraId="19ABEB7B">
      <w:pPr>
        <w:spacing w:line="420" w:lineRule="exact"/>
        <w:ind w:firstLine="640" w:firstLineChars="200"/>
        <w:rPr>
          <w:rFonts w:hint="eastAsia" w:ascii="仿宋" w:hAnsi="仿宋" w:eastAsia="仿宋" w:cs="仿宋"/>
          <w:b w:val="0"/>
          <w:bCs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为实现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玉东新区</w:t>
      </w:r>
      <w:r>
        <w:rPr>
          <w:rFonts w:hint="eastAsia" w:ascii="仿宋" w:hAnsi="仿宋" w:eastAsia="仿宋" w:cs="仿宋"/>
          <w:sz w:val="32"/>
          <w:szCs w:val="32"/>
        </w:rPr>
        <w:t>城市总体规划的发展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，根据周边市政道路的实际情况，对已破损的市政道路围挡进行维修、管养，以及宣传标语的张贴和玉东新区范围内的建筑垃圾进行清理；</w:t>
      </w:r>
      <w:r>
        <w:rPr>
          <w:rFonts w:hint="eastAsia" w:ascii="仿宋" w:hAnsi="仿宋" w:eastAsia="仿宋" w:cs="仿宋"/>
          <w:sz w:val="32"/>
          <w:szCs w:val="32"/>
        </w:rPr>
        <w:t>为实现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玉东新区</w:t>
      </w:r>
      <w:r>
        <w:rPr>
          <w:rFonts w:hint="eastAsia" w:ascii="仿宋" w:hAnsi="仿宋" w:eastAsia="仿宋" w:cs="仿宋"/>
          <w:sz w:val="32"/>
          <w:szCs w:val="32"/>
        </w:rPr>
        <w:t>城市总体规划的发展，配套基础设施建设，农村公路养护维修，建设人民群众满意的农村公路。本项目建设是实现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玉东新区</w:t>
      </w:r>
      <w:r>
        <w:rPr>
          <w:rFonts w:hint="eastAsia" w:ascii="仿宋" w:hAnsi="仿宋" w:eastAsia="仿宋" w:cs="仿宋"/>
          <w:sz w:val="32"/>
          <w:szCs w:val="32"/>
        </w:rPr>
        <w:t>农村总体规划的需要，改善人居环境，适应经济发展的需要；是改善玉东新区农村交通条件，加快农村建设的需要；是农村正常运行、经济发展的需要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,提升玉东新区农村形象，增加可持续发展，使农村道路质量得到提高。</w:t>
      </w:r>
      <w:r>
        <w:rPr>
          <w:rFonts w:hint="eastAsia" w:ascii="仿宋" w:hAnsi="仿宋" w:eastAsia="仿宋" w:cs="仿宋"/>
          <w:b w:val="0"/>
          <w:bCs/>
          <w:spacing w:val="-2"/>
          <w:sz w:val="32"/>
          <w:szCs w:val="32"/>
          <w:lang w:val="en-US" w:eastAsia="zh-CN"/>
        </w:rPr>
        <w:t>2023年度我局项目支出为634.85万元。</w:t>
      </w:r>
    </w:p>
    <w:p w14:paraId="51F231A2">
      <w:pPr>
        <w:widowControl/>
        <w:numPr>
          <w:ilvl w:val="0"/>
          <w:numId w:val="1"/>
        </w:numPr>
        <w:shd w:val="clear" w:color="auto" w:fill="FFFFFF"/>
        <w:spacing w:line="600" w:lineRule="atLeast"/>
        <w:ind w:left="0" w:leftChars="0" w:firstLine="635" w:firstLineChars="200"/>
        <w:rPr>
          <w:rFonts w:hint="eastAsia" w:ascii="仿宋" w:hAnsi="仿宋" w:eastAsia="仿宋" w:cs="仿宋"/>
          <w:b/>
          <w:spacing w:val="-2"/>
          <w:sz w:val="32"/>
          <w:szCs w:val="32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部门专项组织实施情况</w:t>
      </w:r>
    </w:p>
    <w:p w14:paraId="7061A86A">
      <w:pPr>
        <w:widowControl/>
        <w:numPr>
          <w:ilvl w:val="0"/>
          <w:numId w:val="0"/>
        </w:numPr>
        <w:shd w:val="clear" w:color="auto" w:fill="FFFFFF"/>
        <w:spacing w:line="600" w:lineRule="atLeast"/>
        <w:ind w:firstLine="640" w:firstLineChars="200"/>
        <w:rPr>
          <w:rFonts w:hint="eastAsia" w:ascii="仿宋" w:hAnsi="仿宋" w:eastAsia="仿宋" w:cs="仿宋"/>
          <w:b/>
          <w:spacing w:val="-2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  <w:t>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  <w:t>局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  <w:t>召开绩效工作小组专题会议，安排部署绩效自评工作，明确工作职责，规定完成时限，提出具体要求。</w:t>
      </w:r>
    </w:p>
    <w:p w14:paraId="403BA57B">
      <w:pPr>
        <w:numPr>
          <w:ilvl w:val="0"/>
          <w:numId w:val="0"/>
        </w:numPr>
        <w:ind w:firstLine="635" w:firstLineChars="200"/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  <w:t>四、</w:t>
      </w: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资产管理情</w:t>
      </w:r>
      <w:r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  <w:t>况</w:t>
      </w:r>
    </w:p>
    <w:p w14:paraId="31318AC3">
      <w:pPr>
        <w:numPr>
          <w:ilvl w:val="0"/>
          <w:numId w:val="0"/>
        </w:numPr>
        <w:ind w:firstLine="632" w:firstLineChars="200"/>
        <w:rPr>
          <w:rFonts w:hint="eastAsia" w:ascii="仿宋" w:hAnsi="仿宋" w:eastAsia="仿宋" w:cs="仿宋"/>
          <w:b w:val="0"/>
          <w:bCs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pacing w:val="-2"/>
          <w:sz w:val="32"/>
          <w:szCs w:val="32"/>
          <w:lang w:val="en-US" w:eastAsia="zh-CN"/>
        </w:rPr>
        <w:t>我局资产总额11540.30万元，负债总额7.67万元,净资产11532.62万元。流动资产7.67万元，占资产总额0.06%;固定资产1280.81万元，占资产总额11.09%。</w:t>
      </w:r>
    </w:p>
    <w:p w14:paraId="7B2C8E24">
      <w:pPr>
        <w:widowControl/>
        <w:numPr>
          <w:ilvl w:val="0"/>
          <w:numId w:val="3"/>
        </w:numPr>
        <w:spacing w:line="600" w:lineRule="exact"/>
        <w:ind w:firstLine="635" w:firstLineChars="200"/>
        <w:jc w:val="left"/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部门整体支出绩效情</w:t>
      </w:r>
      <w:r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  <w:t>况</w:t>
      </w:r>
    </w:p>
    <w:p w14:paraId="05D58AD7"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一、强化整治，美化市容市貌</w:t>
      </w:r>
    </w:p>
    <w:p w14:paraId="41F84769"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（一）开展了人行道秩序的整治。以整治违章停放和出店经营为重点，加大人行道秩序的监管，全面取缔了占道经营，规范了自行车、摩托车的停放，清理了乱堆乱放，确保了人行道的秩序良好，卫生整洁。</w:t>
      </w:r>
    </w:p>
    <w:p w14:paraId="7183D8EC"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（二）开展了市场周边环境的专项整治。围绕市场搬迁后形成的市容“回潮”现象开展治理。</w:t>
      </w:r>
    </w:p>
    <w:p w14:paraId="3469C1F6"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二、建设道路，提升城市形象</w:t>
      </w:r>
    </w:p>
    <w:p w14:paraId="7559BB2B"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建设新区道路，内容包括：道路工程，给、排水工程、照明工程、电力电信工程、交通工程、绿化工程。增强了周边商住及群众生产、生活来往的需要，有效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地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满足周边区域需要的功能性建设，推动玉东新区经济发展，改善人们出行环境，提升了玉东新区的城市形象。</w:t>
      </w:r>
    </w:p>
    <w:p w14:paraId="2F28DD5A">
      <w:pPr>
        <w:widowControl/>
        <w:numPr>
          <w:ilvl w:val="0"/>
          <w:numId w:val="3"/>
        </w:numPr>
        <w:spacing w:line="600" w:lineRule="exact"/>
        <w:ind w:left="0" w:leftChars="0" w:firstLine="635" w:firstLineChars="200"/>
        <w:jc w:val="left"/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存在的主要问</w:t>
      </w:r>
      <w:r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  <w:t>题</w:t>
      </w:r>
    </w:p>
    <w:p w14:paraId="4A467DE6"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新区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市场周边管理秩序依然较乱。主要表现在，占路经营、游商浮贩等整治不彻底，市场冒市、跨门经营等现象较严重；部分区域由于监管不到位等原因，各类城市管理问题交织，并向四周蔓延。三是广告牌匾设置依然较乱。主要表现在，有的门店招牌不规范，有些户外广告未经审批，部分商业区门头牌匾的色彩、内容、材质不统一，影响市容面貌。</w:t>
      </w:r>
    </w:p>
    <w:p w14:paraId="442A9F9A">
      <w:pPr>
        <w:numPr>
          <w:ilvl w:val="0"/>
          <w:numId w:val="0"/>
        </w:numPr>
        <w:ind w:firstLine="635" w:firstLineChars="200"/>
        <w:rPr>
          <w:rFonts w:hint="eastAsia" w:ascii="仿宋" w:hAnsi="仿宋" w:eastAsia="仿宋" w:cs="仿宋"/>
          <w:b w:val="0"/>
          <w:bCs/>
          <w:spacing w:val="-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  <w:t>七、</w:t>
      </w:r>
      <w:r>
        <w:rPr>
          <w:rFonts w:hint="eastAsia" w:ascii="仿宋" w:hAnsi="仿宋" w:eastAsia="仿宋" w:cs="仿宋"/>
          <w:b/>
          <w:spacing w:val="-2"/>
          <w:sz w:val="32"/>
          <w:szCs w:val="32"/>
        </w:rPr>
        <w:t>改进措施和有关建</w:t>
      </w:r>
      <w:r>
        <w:rPr>
          <w:rFonts w:hint="eastAsia" w:ascii="仿宋" w:hAnsi="仿宋" w:eastAsia="仿宋" w:cs="仿宋"/>
          <w:b/>
          <w:spacing w:val="-2"/>
          <w:sz w:val="32"/>
          <w:szCs w:val="32"/>
          <w:lang w:eastAsia="zh-CN"/>
        </w:rPr>
        <w:t>议</w:t>
      </w:r>
    </w:p>
    <w:p w14:paraId="41A1E8C3"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我局将积极推进城管体制改革和创新，建立和完善了城管长效管理体制。针对新区管理中“前治后乱”、“前清后脏”、反复回潮的弊端，确立“疏堵结合、严管重罚、责任到位”的指导思想，围绕“规定动作天天抓、统一动作集中抓、自选动作侧重抓、特定动作强力抓”的要求，加强两方面工作：一是加强督查，强化日常督查管理。建立每天街道范围内城管工作巡视制度，实行定人、分片、包路段责任制，全覆盖巡查，全天候监督，发现问题迅速汇总、反馈、</w:t>
      </w:r>
      <w:r>
        <w:rPr>
          <w:rFonts w:hint="eastAsia" w:ascii="仿宋" w:hAnsi="仿宋" w:eastAsia="仿宋" w:cs="仿宋"/>
        </w:rPr>
        <w:fldChar w:fldCharType="begin"/>
      </w:r>
      <w:r>
        <w:rPr>
          <w:rFonts w:hint="eastAsia" w:ascii="仿宋" w:hAnsi="仿宋" w:eastAsia="仿宋" w:cs="仿宋"/>
        </w:rPr>
        <w:instrText xml:space="preserve"> HYPERLINK "https://www.gwyoo.com/article/zuixinshisi/zgcs/" </w:instrText>
      </w:r>
      <w:r>
        <w:rPr>
          <w:rFonts w:hint="eastAsia" w:ascii="仿宋" w:hAnsi="仿宋" w:eastAsia="仿宋" w:cs="仿宋"/>
        </w:rPr>
        <w:fldChar w:fldCharType="separate"/>
      </w:r>
      <w:r>
        <w:rPr>
          <w:rStyle w:val="5"/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整改</w:t>
      </w:r>
      <w:r>
        <w:rPr>
          <w:rStyle w:val="5"/>
          <w:rFonts w:hint="eastAsia" w:ascii="仿宋" w:hAnsi="仿宋" w:eastAsia="仿宋" w:cs="仿宋"/>
          <w:color w:val="000000" w:themeColor="text1"/>
          <w:sz w:val="32"/>
          <w:szCs w:val="32"/>
          <w:u w:val="none"/>
          <w:shd w:val="clear" w:color="auto" w:fill="FFFFFF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；二是加强协作，强化综合执法。建立每周两次的全城性集中巡回综合执法制度，巩固创建成果。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</w:p>
    <w:p w14:paraId="07BA5A71"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5BFF358A"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0F4A6AD8">
      <w:pPr>
        <w:pStyle w:val="2"/>
        <w:shd w:val="clear" w:color="auto" w:fill="FFFFFF"/>
        <w:adjustRightInd w:val="0"/>
        <w:spacing w:before="0" w:beforeAutospacing="0" w:after="0" w:afterAutospacing="0"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F91D895">
      <w:pPr>
        <w:spacing w:line="560" w:lineRule="exact"/>
        <w:jc w:val="right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玉林市玉东新区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城市管理监督局</w:t>
      </w:r>
    </w:p>
    <w:p w14:paraId="1471D9D6">
      <w:pPr>
        <w:spacing w:line="560" w:lineRule="exact"/>
        <w:ind w:firstLine="5120" w:firstLineChars="1600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 w14:paraId="6E6EB7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5A2093"/>
    <w:multiLevelType w:val="singleLevel"/>
    <w:tmpl w:val="1E5A209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066D5B9"/>
    <w:multiLevelType w:val="singleLevel"/>
    <w:tmpl w:val="5066D5B9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54DDFC05"/>
    <w:multiLevelType w:val="singleLevel"/>
    <w:tmpl w:val="54DDFC0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5NzQ5Y2RjMDViY2VjZmY0MWE1NmQ3ZjQyOTQ1M2QifQ=="/>
  </w:docVars>
  <w:rsids>
    <w:rsidRoot w:val="48843AAB"/>
    <w:rsid w:val="48843AAB"/>
    <w:rsid w:val="7374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Hyperlink"/>
    <w:basedOn w:val="4"/>
    <w:qFormat/>
    <w:uiPriority w:val="0"/>
    <w:rPr>
      <w:color w:val="0000F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1910</Words>
  <Characters>2042</Characters>
  <Lines>0</Lines>
  <Paragraphs>0</Paragraphs>
  <TotalTime>26</TotalTime>
  <ScaleCrop>false</ScaleCrop>
  <LinksUpToDate>false</LinksUpToDate>
  <CharactersWithSpaces>2043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2024-03-28T02:03:00Z</dcterms:created>
  <dc:creator>悦悦mother</dc:creator>
  <cp:lastModifiedBy>Administrator</cp:lastModifiedBy>
  <dcterms:modified xsi:type="dcterms:W3CDTF">2024-09-30T11:22:57Z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0FE765A531FD472BB0BC0B2760A4E2B2_11</vt:lpwstr>
  </property>
</Properties>
</file>