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04526B">
      <w:pPr>
        <w:rPr>
          <w:rFonts w:hint="eastAsia" w:ascii="Times New Roman" w:hAnsi="Times New Roman" w:eastAsia="黑体" w:cs="Times New Roman"/>
          <w:sz w:val="32"/>
          <w:szCs w:val="32"/>
          <w:lang w:val="en-US" w:eastAsia="zh-CN"/>
        </w:rPr>
      </w:pPr>
      <w:bookmarkStart w:id="0" w:name="_GoBack"/>
      <w:r>
        <w:rPr>
          <w:rFonts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3</w:t>
      </w:r>
    </w:p>
    <w:p w14:paraId="191AF59B">
      <w:pPr>
        <w:spacing w:line="600" w:lineRule="exact"/>
        <w:rPr>
          <w:rFonts w:ascii="Times New Roman" w:hAnsi="Times New Roman" w:eastAsia="黑体" w:cs="Times New Roman"/>
          <w:sz w:val="32"/>
          <w:szCs w:val="32"/>
        </w:rPr>
      </w:pPr>
    </w:p>
    <w:p w14:paraId="454361FD">
      <w:pPr>
        <w:spacing w:line="600" w:lineRule="exact"/>
        <w:rPr>
          <w:rFonts w:ascii="Times New Roman" w:hAnsi="Times New Roman" w:eastAsia="黑体" w:cs="Times New Roman"/>
          <w:sz w:val="32"/>
          <w:szCs w:val="32"/>
        </w:rPr>
      </w:pPr>
    </w:p>
    <w:p w14:paraId="06C6264E">
      <w:pPr>
        <w:spacing w:line="600" w:lineRule="exact"/>
        <w:rPr>
          <w:rFonts w:ascii="Times New Roman" w:hAnsi="Times New Roman" w:eastAsia="黑体" w:cs="Times New Roman"/>
          <w:sz w:val="32"/>
          <w:szCs w:val="32"/>
        </w:rPr>
      </w:pPr>
    </w:p>
    <w:p w14:paraId="689B3CD8">
      <w:pPr>
        <w:spacing w:line="600" w:lineRule="exact"/>
        <w:rPr>
          <w:rFonts w:ascii="Times New Roman" w:hAnsi="Times New Roman" w:eastAsia="黑体" w:cs="Times New Roman"/>
          <w:sz w:val="32"/>
          <w:szCs w:val="32"/>
        </w:rPr>
      </w:pPr>
    </w:p>
    <w:p w14:paraId="656C472E">
      <w:pPr>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w:t>
      </w:r>
      <w:r>
        <w:rPr>
          <w:rFonts w:hint="eastAsia" w:eastAsia="方正小标宋_GBK" w:cs="Times New Roman"/>
          <w:sz w:val="52"/>
          <w:szCs w:val="52"/>
          <w:lang w:val="en-US" w:eastAsia="zh-CN"/>
        </w:rPr>
        <w:t>3</w:t>
      </w:r>
      <w:r>
        <w:rPr>
          <w:rFonts w:ascii="Times New Roman" w:hAnsi="Times New Roman" w:eastAsia="方正小标宋_GBK" w:cs="Times New Roman"/>
          <w:sz w:val="52"/>
          <w:szCs w:val="52"/>
        </w:rPr>
        <w:t>年度</w:t>
      </w:r>
      <w:r>
        <w:rPr>
          <w:rFonts w:hint="eastAsia" w:eastAsia="方正小标宋_GBK" w:cs="Times New Roman"/>
          <w:sz w:val="52"/>
          <w:szCs w:val="52"/>
          <w:lang w:eastAsia="zh-CN"/>
        </w:rPr>
        <w:t>玉林市玉州区茂林镇人民政府部门预算</w:t>
      </w:r>
      <w:r>
        <w:rPr>
          <w:rFonts w:ascii="Times New Roman" w:hAnsi="Times New Roman" w:eastAsia="方正小标宋_GBK" w:cs="Times New Roman"/>
          <w:sz w:val="52"/>
          <w:szCs w:val="52"/>
        </w:rPr>
        <w:t>绩效自评报告</w:t>
      </w:r>
    </w:p>
    <w:p w14:paraId="08BD6A2A">
      <w:pPr>
        <w:jc w:val="both"/>
        <w:rPr>
          <w:rFonts w:ascii="Times New Roman" w:hAnsi="Times New Roman" w:eastAsia="楷体_GB2312" w:cs="Times New Roman"/>
          <w:b/>
          <w:sz w:val="32"/>
          <w:szCs w:val="32"/>
        </w:rPr>
      </w:pPr>
    </w:p>
    <w:p w14:paraId="62A0D442">
      <w:pPr>
        <w:jc w:val="center"/>
        <w:rPr>
          <w:rFonts w:ascii="Times New Roman" w:hAnsi="Times New Roman" w:eastAsia="黑体" w:cs="Times New Roman"/>
          <w:sz w:val="32"/>
          <w:szCs w:val="32"/>
        </w:rPr>
      </w:pPr>
    </w:p>
    <w:p w14:paraId="2556529F">
      <w:pPr>
        <w:jc w:val="center"/>
        <w:rPr>
          <w:rFonts w:ascii="Times New Roman" w:hAnsi="Times New Roman" w:eastAsia="黑体" w:cs="Times New Roman"/>
          <w:sz w:val="32"/>
          <w:szCs w:val="32"/>
        </w:rPr>
      </w:pPr>
    </w:p>
    <w:p w14:paraId="3DFD3E1B">
      <w:pPr>
        <w:jc w:val="center"/>
        <w:rPr>
          <w:rFonts w:ascii="Times New Roman" w:hAnsi="Times New Roman" w:eastAsia="黑体" w:cs="Times New Roman"/>
          <w:sz w:val="32"/>
          <w:szCs w:val="32"/>
        </w:rPr>
      </w:pPr>
    </w:p>
    <w:p w14:paraId="59EFD0F5">
      <w:pPr>
        <w:jc w:val="center"/>
        <w:rPr>
          <w:rFonts w:ascii="Times New Roman" w:hAnsi="Times New Roman" w:eastAsia="黑体" w:cs="Times New Roman"/>
          <w:sz w:val="32"/>
          <w:szCs w:val="32"/>
        </w:rPr>
      </w:pPr>
    </w:p>
    <w:p w14:paraId="727C78EB">
      <w:pPr>
        <w:jc w:val="center"/>
        <w:rPr>
          <w:rFonts w:ascii="Times New Roman" w:hAnsi="Times New Roman" w:eastAsia="黑体" w:cs="Times New Roman"/>
          <w:sz w:val="32"/>
          <w:szCs w:val="32"/>
        </w:rPr>
      </w:pPr>
    </w:p>
    <w:p w14:paraId="25C4458E">
      <w:pPr>
        <w:jc w:val="both"/>
        <w:rPr>
          <w:rFonts w:ascii="Times New Roman" w:hAnsi="Times New Roman" w:eastAsia="黑体" w:cs="Times New Roman"/>
          <w:sz w:val="32"/>
          <w:szCs w:val="32"/>
        </w:rPr>
      </w:pPr>
    </w:p>
    <w:p w14:paraId="158B8450">
      <w:pPr>
        <w:jc w:val="center"/>
        <w:rPr>
          <w:rFonts w:ascii="Times New Roman" w:hAnsi="Times New Roman" w:eastAsia="黑体" w:cs="Times New Roman"/>
          <w:sz w:val="32"/>
          <w:szCs w:val="32"/>
        </w:rPr>
      </w:pPr>
    </w:p>
    <w:p w14:paraId="096249C3">
      <w:pPr>
        <w:spacing w:line="600" w:lineRule="exact"/>
        <w:jc w:val="center"/>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单位名称：</w:t>
      </w:r>
      <w:r>
        <w:rPr>
          <w:rFonts w:ascii="Times New Roman" w:hAnsi="Times New Roman" w:eastAsia="仿宋_GB2312" w:cs="Times New Roman"/>
          <w:sz w:val="32"/>
          <w:szCs w:val="32"/>
          <w:u w:val="single"/>
        </w:rPr>
        <w:t>（盖章）</w:t>
      </w:r>
      <w:r>
        <w:rPr>
          <w:rFonts w:hint="eastAsia" w:ascii="Times New Roman" w:hAnsi="Times New Roman" w:eastAsia="仿宋_GB2312" w:cs="Times New Roman"/>
          <w:sz w:val="32"/>
          <w:szCs w:val="32"/>
          <w:u w:val="single"/>
        </w:rPr>
        <w:t>玉林市玉州区</w:t>
      </w:r>
      <w:r>
        <w:rPr>
          <w:rFonts w:hint="eastAsia" w:eastAsia="仿宋_GB2312" w:cs="Times New Roman"/>
          <w:sz w:val="32"/>
          <w:szCs w:val="32"/>
          <w:u w:val="single"/>
          <w:lang w:eastAsia="zh-CN"/>
        </w:rPr>
        <w:t>茂林镇人民政府</w:t>
      </w:r>
    </w:p>
    <w:p w14:paraId="2208774F">
      <w:pPr>
        <w:spacing w:line="600" w:lineRule="exact"/>
        <w:jc w:val="center"/>
        <w:rPr>
          <w:rFonts w:ascii="Times New Roman" w:hAnsi="Times New Roman" w:eastAsia="楷体_GB2312" w:cs="Times New Roman"/>
          <w:sz w:val="32"/>
          <w:szCs w:val="32"/>
        </w:rPr>
      </w:pPr>
      <w:r>
        <w:rPr>
          <w:rFonts w:hint="eastAsia" w:eastAsia="楷体_GB2312" w:cs="Times New Roman"/>
          <w:sz w:val="32"/>
          <w:szCs w:val="32"/>
          <w:lang w:val="en-US" w:eastAsia="zh-CN"/>
        </w:rPr>
        <w:t>2024</w:t>
      </w:r>
      <w:r>
        <w:rPr>
          <w:rFonts w:ascii="Times New Roman" w:hAnsi="Times New Roman" w:eastAsia="楷体_GB2312" w:cs="Times New Roman"/>
          <w:sz w:val="32"/>
          <w:szCs w:val="32"/>
        </w:rPr>
        <w:t>年</w:t>
      </w:r>
      <w:r>
        <w:rPr>
          <w:rFonts w:hint="eastAsia" w:eastAsia="楷体_GB2312" w:cs="Times New Roman"/>
          <w:sz w:val="32"/>
          <w:szCs w:val="32"/>
          <w:lang w:val="en-US" w:eastAsia="zh-CN"/>
        </w:rPr>
        <w:t>3</w:t>
      </w:r>
      <w:r>
        <w:rPr>
          <w:rFonts w:ascii="Times New Roman" w:hAnsi="Times New Roman" w:eastAsia="楷体_GB2312" w:cs="Times New Roman"/>
          <w:sz w:val="32"/>
          <w:szCs w:val="32"/>
        </w:rPr>
        <w:t>月</w:t>
      </w:r>
      <w:r>
        <w:rPr>
          <w:rFonts w:hint="eastAsia" w:eastAsia="楷体_GB2312" w:cs="Times New Roman"/>
          <w:sz w:val="32"/>
          <w:szCs w:val="32"/>
          <w:lang w:val="en-US" w:eastAsia="zh-CN"/>
        </w:rPr>
        <w:t>31</w:t>
      </w:r>
      <w:r>
        <w:rPr>
          <w:rFonts w:ascii="Times New Roman" w:hAnsi="Times New Roman" w:eastAsia="楷体_GB2312" w:cs="Times New Roman"/>
          <w:sz w:val="32"/>
          <w:szCs w:val="32"/>
        </w:rPr>
        <w:t>日</w:t>
      </w:r>
    </w:p>
    <w:p w14:paraId="0E788939">
      <w:pPr>
        <w:jc w:val="center"/>
        <w:rPr>
          <w:rFonts w:ascii="Times New Roman" w:hAnsi="Times New Roman" w:eastAsia="黑体" w:cs="Times New Roman"/>
          <w:sz w:val="32"/>
          <w:szCs w:val="32"/>
        </w:rPr>
      </w:pPr>
    </w:p>
    <w:p w14:paraId="1981415E">
      <w:pPr>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（此页为封面）</w:t>
      </w:r>
    </w:p>
    <w:p w14:paraId="185A8F77">
      <w:pPr>
        <w:keepNext w:val="0"/>
        <w:keepLines w:val="0"/>
        <w:pageBreakBefore w:val="0"/>
        <w:widowControl/>
        <w:shd w:val="clear" w:color="auto" w:fill="FFFFFF"/>
        <w:kinsoku/>
        <w:wordWrap/>
        <w:overflowPunct/>
        <w:topLinePunct w:val="0"/>
        <w:autoSpaceDE/>
        <w:autoSpaceDN/>
        <w:bidi w:val="0"/>
        <w:adjustRightInd/>
        <w:snapToGrid/>
        <w:spacing w:line="600" w:lineRule="atLeas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14:paraId="6549C632">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lang w:eastAsia="zh-CN"/>
        </w:rPr>
        <w:t>一、预算基本情况</w:t>
      </w:r>
    </w:p>
    <w:p w14:paraId="5355274B">
      <w:pPr>
        <w:keepNext w:val="0"/>
        <w:keepLines w:val="0"/>
        <w:pageBreakBefore w:val="0"/>
        <w:widowControl/>
        <w:shd w:val="clear" w:color="auto" w:fill="FFFFFF"/>
        <w:kinsoku/>
        <w:wordWrap/>
        <w:overflowPunct/>
        <w:topLinePunct w:val="0"/>
        <w:autoSpaceDE/>
        <w:autoSpaceDN/>
        <w:bidi w:val="0"/>
        <w:adjustRightInd/>
        <w:snapToGrid/>
        <w:spacing w:line="600" w:lineRule="atLeast"/>
        <w:ind w:firstLine="643" w:firstLineChars="200"/>
        <w:textAlignment w:val="auto"/>
        <w:rPr>
          <w:rFonts w:hint="eastAsia" w:ascii="楷体_GB2312" w:hAnsi="楷体_GB2312" w:eastAsia="楷体_GB2312" w:cs="楷体_GB2312"/>
          <w:b/>
          <w:bCs/>
          <w:spacing w:val="0"/>
          <w:sz w:val="32"/>
          <w:szCs w:val="32"/>
          <w:lang w:eastAsia="zh-CN"/>
        </w:rPr>
      </w:pPr>
      <w:r>
        <w:rPr>
          <w:rFonts w:hint="eastAsia" w:ascii="楷体_GB2312" w:hAnsi="楷体_GB2312" w:eastAsia="楷体_GB2312" w:cs="楷体_GB2312"/>
          <w:b/>
          <w:bCs/>
          <w:spacing w:val="0"/>
          <w:sz w:val="32"/>
          <w:szCs w:val="32"/>
        </w:rPr>
        <w:t>（一）</w:t>
      </w:r>
      <w:r>
        <w:rPr>
          <w:rFonts w:hint="eastAsia" w:ascii="楷体_GB2312" w:hAnsi="楷体_GB2312" w:eastAsia="楷体_GB2312" w:cs="楷体_GB2312"/>
          <w:b/>
          <w:bCs/>
          <w:spacing w:val="0"/>
          <w:sz w:val="32"/>
          <w:szCs w:val="32"/>
          <w:lang w:eastAsia="zh-CN"/>
        </w:rPr>
        <w:t>本部门上年结转项目基本情况、预算执行情况</w:t>
      </w:r>
    </w:p>
    <w:p w14:paraId="10300FD9">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2023年，茂林镇无上年结转项目。</w:t>
      </w:r>
    </w:p>
    <w:p w14:paraId="2868C522">
      <w:pPr>
        <w:keepNext w:val="0"/>
        <w:keepLines w:val="0"/>
        <w:pageBreakBefore w:val="0"/>
        <w:widowControl/>
        <w:shd w:val="clear" w:color="auto" w:fill="FFFFFF"/>
        <w:kinsoku/>
        <w:wordWrap/>
        <w:overflowPunct/>
        <w:topLinePunct w:val="0"/>
        <w:autoSpaceDE/>
        <w:autoSpaceDN/>
        <w:bidi w:val="0"/>
        <w:adjustRightInd/>
        <w:snapToGrid/>
        <w:spacing w:line="600" w:lineRule="atLeast"/>
        <w:ind w:firstLine="643" w:firstLineChars="200"/>
        <w:textAlignment w:val="auto"/>
        <w:rPr>
          <w:rFonts w:hint="eastAsia" w:ascii="楷体_GB2312" w:hAnsi="楷体_GB2312" w:eastAsia="楷体_GB2312" w:cs="楷体_GB2312"/>
          <w:b/>
          <w:bCs/>
          <w:spacing w:val="0"/>
          <w:sz w:val="32"/>
          <w:szCs w:val="32"/>
          <w:lang w:eastAsia="zh-CN"/>
        </w:rPr>
      </w:pPr>
      <w:r>
        <w:rPr>
          <w:rFonts w:hint="eastAsia" w:ascii="楷体_GB2312" w:hAnsi="楷体_GB2312" w:eastAsia="楷体_GB2312" w:cs="楷体_GB2312"/>
          <w:b/>
          <w:bCs/>
          <w:spacing w:val="0"/>
          <w:sz w:val="32"/>
          <w:szCs w:val="32"/>
        </w:rPr>
        <w:t>（</w:t>
      </w:r>
      <w:r>
        <w:rPr>
          <w:rFonts w:hint="eastAsia" w:ascii="楷体_GB2312" w:hAnsi="楷体_GB2312" w:eastAsia="楷体_GB2312" w:cs="楷体_GB2312"/>
          <w:b/>
          <w:bCs/>
          <w:spacing w:val="0"/>
          <w:sz w:val="32"/>
          <w:szCs w:val="32"/>
          <w:lang w:eastAsia="zh-CN"/>
        </w:rPr>
        <w:t>二</w:t>
      </w:r>
      <w:r>
        <w:rPr>
          <w:rFonts w:hint="eastAsia" w:ascii="楷体_GB2312" w:hAnsi="楷体_GB2312" w:eastAsia="楷体_GB2312" w:cs="楷体_GB2312"/>
          <w:b/>
          <w:bCs/>
          <w:spacing w:val="0"/>
          <w:sz w:val="32"/>
          <w:szCs w:val="32"/>
        </w:rPr>
        <w:t>）</w:t>
      </w:r>
      <w:r>
        <w:rPr>
          <w:rFonts w:hint="eastAsia" w:ascii="楷体_GB2312" w:hAnsi="楷体_GB2312" w:eastAsia="楷体_GB2312" w:cs="楷体_GB2312"/>
          <w:b/>
          <w:bCs/>
          <w:spacing w:val="0"/>
          <w:sz w:val="32"/>
          <w:szCs w:val="32"/>
          <w:lang w:val="en-US" w:eastAsia="zh-CN"/>
        </w:rPr>
        <w:t>2023年度</w:t>
      </w:r>
      <w:r>
        <w:rPr>
          <w:rFonts w:hint="eastAsia" w:ascii="楷体_GB2312" w:hAnsi="楷体_GB2312" w:eastAsia="楷体_GB2312" w:cs="楷体_GB2312"/>
          <w:b/>
          <w:bCs/>
          <w:spacing w:val="-11"/>
          <w:sz w:val="32"/>
          <w:szCs w:val="32"/>
        </w:rPr>
        <w:t>部门整体</w:t>
      </w:r>
      <w:r>
        <w:rPr>
          <w:rFonts w:hint="eastAsia" w:ascii="楷体_GB2312" w:hAnsi="楷体_GB2312" w:eastAsia="楷体_GB2312" w:cs="楷体_GB2312"/>
          <w:b/>
          <w:bCs/>
          <w:spacing w:val="0"/>
          <w:sz w:val="32"/>
          <w:szCs w:val="32"/>
          <w:lang w:eastAsia="zh-CN"/>
        </w:rPr>
        <w:t>预算安排及总体执行情况</w:t>
      </w:r>
    </w:p>
    <w:p w14:paraId="0E53B6F8">
      <w:pPr>
        <w:keepNext w:val="0"/>
        <w:keepLines w:val="0"/>
        <w:pageBreakBefore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spacing w:val="0"/>
          <w:sz w:val="32"/>
          <w:szCs w:val="32"/>
          <w:lang w:val="en-US" w:eastAsia="zh-CN"/>
        </w:rPr>
        <w:t>茂林镇2023年部门整体年初预算数为97699309.46元，</w:t>
      </w:r>
      <w:r>
        <w:rPr>
          <w:rFonts w:hint="eastAsia" w:ascii="仿宋_GB2312" w:hAnsi="仿宋_GB2312" w:eastAsia="仿宋_GB2312" w:cs="仿宋_GB2312"/>
          <w:color w:val="auto"/>
          <w:spacing w:val="0"/>
          <w:sz w:val="32"/>
          <w:szCs w:val="32"/>
          <w:lang w:val="en-US" w:eastAsia="zh-CN"/>
        </w:rPr>
        <w:t>其中：一般公共预算拨款（上级）16106900.00元，一般公共预算拨款（本级）77955409.46元，政府性基金3637000.00元。年度预算调整时，共调减8034748.90元，其中：政府性基金调增328907.00元，一般公共预算拨款（上级）调增1453322.23元，一般公共预算拨款（本级）调减9856196.22元。调整后预算数为89664560.56（总指标数）元，全年执行数为75863580.62元，预算执行率84.61%。</w:t>
      </w:r>
    </w:p>
    <w:p w14:paraId="790BA1BD">
      <w:pPr>
        <w:keepNext w:val="0"/>
        <w:keepLines w:val="0"/>
        <w:pageBreakBefore w:val="0"/>
        <w:widowControl/>
        <w:shd w:val="clear" w:color="auto" w:fill="FFFFFF"/>
        <w:kinsoku/>
        <w:wordWrap/>
        <w:overflowPunct/>
        <w:topLinePunct w:val="0"/>
        <w:autoSpaceDE/>
        <w:autoSpaceDN/>
        <w:bidi w:val="0"/>
        <w:adjustRightInd/>
        <w:snapToGrid/>
        <w:spacing w:line="600" w:lineRule="atLeast"/>
        <w:ind w:firstLine="643" w:firstLineChars="200"/>
        <w:textAlignment w:val="auto"/>
        <w:rPr>
          <w:rFonts w:hint="eastAsia" w:ascii="楷体_GB2312" w:hAnsi="楷体_GB2312" w:eastAsia="楷体_GB2312" w:cs="楷体_GB2312"/>
          <w:b/>
          <w:bCs/>
          <w:spacing w:val="0"/>
          <w:sz w:val="32"/>
          <w:szCs w:val="32"/>
          <w:lang w:val="en-US" w:eastAsia="zh-CN"/>
        </w:rPr>
      </w:pPr>
      <w:r>
        <w:rPr>
          <w:rFonts w:hint="eastAsia" w:ascii="楷体_GB2312" w:hAnsi="楷体_GB2312" w:eastAsia="楷体_GB2312" w:cs="楷体_GB2312"/>
          <w:b/>
          <w:bCs/>
          <w:spacing w:val="0"/>
          <w:sz w:val="32"/>
          <w:szCs w:val="32"/>
          <w:lang w:val="en-US" w:eastAsia="zh-CN"/>
        </w:rPr>
        <w:t>（三）2023年度项目支出安排及执行情况</w:t>
      </w:r>
    </w:p>
    <w:p w14:paraId="6FC3C2B1">
      <w:pPr>
        <w:pStyle w:val="2"/>
        <w:numPr>
          <w:ilvl w:val="0"/>
          <w:numId w:val="0"/>
        </w:numPr>
        <w:ind w:firstLine="640" w:firstLineChars="200"/>
        <w:jc w:val="both"/>
        <w:rPr>
          <w:color w:val="auto"/>
        </w:rPr>
      </w:pPr>
      <w:r>
        <w:rPr>
          <w:rFonts w:hint="eastAsia" w:ascii="仿宋_GB2312" w:hAnsi="仿宋_GB2312" w:eastAsia="仿宋_GB2312" w:cs="仿宋_GB2312"/>
          <w:spacing w:val="0"/>
          <w:sz w:val="32"/>
          <w:szCs w:val="32"/>
          <w:lang w:val="en-US" w:eastAsia="zh-CN"/>
        </w:rPr>
        <w:t>茂林镇2023年有项目134个，项目年初总预算数70537457.44元，当年总预算数63722023.07元，项目总金额169249253.9元，全年执行总数52155530.76元。</w:t>
      </w:r>
      <w:r>
        <w:rPr>
          <w:rFonts w:hint="eastAsia" w:ascii="仿宋_GB2312" w:hAnsi="仿宋_GB2312" w:eastAsia="仿宋_GB2312" w:cs="仿宋_GB2312"/>
          <w:spacing w:val="-2"/>
          <w:sz w:val="32"/>
          <w:szCs w:val="32"/>
          <w:lang w:eastAsia="zh-CN"/>
        </w:rPr>
        <w:t>茂林镇项目支出主要用于茂林镇专项经费等支出，均由财政拨款安排落实。根据党中央、自治区、玉林市、玉东新区部署要求，按照</w:t>
      </w:r>
      <w:r>
        <w:rPr>
          <w:rFonts w:hint="eastAsia" w:ascii="仿宋_GB2312" w:hAnsi="仿宋_GB2312" w:eastAsia="仿宋_GB2312" w:cs="仿宋_GB2312"/>
          <w:spacing w:val="-2"/>
          <w:sz w:val="32"/>
          <w:szCs w:val="32"/>
          <w:lang w:val="en-US" w:eastAsia="zh-CN"/>
        </w:rPr>
        <w:t>2023年度计划开展各项工作，推进项目工程建设，并安排专项资金投入落实。</w:t>
      </w:r>
      <w:r>
        <w:rPr>
          <w:rFonts w:hint="eastAsia" w:ascii="仿宋_GB2312" w:hAnsi="仿宋_GB2312" w:eastAsia="仿宋_GB2312" w:cs="仿宋_GB2312"/>
          <w:b w:val="0"/>
          <w:bCs w:val="0"/>
          <w:color w:val="auto"/>
          <w:sz w:val="32"/>
          <w:szCs w:val="24"/>
          <w:shd w:val="clear" w:color="auto" w:fill="FFFFFF"/>
          <w:lang w:eastAsia="zh-CN"/>
        </w:rPr>
        <w:t>项目资金专款专用，</w:t>
      </w:r>
      <w:r>
        <w:rPr>
          <w:rFonts w:hint="eastAsia" w:ascii="仿宋_GB2312" w:hAnsi="仿宋_GB2312" w:eastAsia="仿宋_GB2312" w:cs="仿宋_GB2312"/>
          <w:bCs/>
          <w:color w:val="auto"/>
          <w:sz w:val="32"/>
          <w:szCs w:val="32"/>
          <w:lang w:eastAsia="zh-CN"/>
        </w:rPr>
        <w:t>具有较为完善的专项资金管理制度，严格按照玉东新区财政局</w:t>
      </w:r>
      <w:r>
        <w:rPr>
          <w:rFonts w:hint="eastAsia" w:ascii="仿宋_GB2312" w:hAnsi="仿宋_GB2312" w:eastAsia="仿宋_GB2312" w:cs="仿宋_GB2312"/>
          <w:bCs/>
          <w:color w:val="auto"/>
          <w:sz w:val="32"/>
          <w:szCs w:val="32"/>
          <w:lang w:val="en-US" w:eastAsia="zh-CN"/>
        </w:rPr>
        <w:t>的相关要求拨付专项资金。资金支出符合国家和城区财经法规和财务管理制度规定以及有关专项资金管理办法的规定，资金的分配有完整的审批程序和手续，资金的拨付按规定程序进行拨付，资金支出符合部门预算批复的用途，不存在截留、挤占、挪用、虚列支出等情况。</w:t>
      </w:r>
    </w:p>
    <w:p w14:paraId="4F385FDC">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lang w:eastAsia="zh-CN"/>
        </w:rPr>
        <w:t>二、</w:t>
      </w:r>
      <w:r>
        <w:rPr>
          <w:rFonts w:hint="eastAsia" w:ascii="Times New Roman" w:hAnsi="Times New Roman" w:eastAsia="黑体" w:cs="Times New Roman"/>
          <w:color w:val="auto"/>
          <w:sz w:val="32"/>
          <w:szCs w:val="32"/>
        </w:rPr>
        <w:t>自评工作开展情况</w:t>
      </w:r>
    </w:p>
    <w:p w14:paraId="15D1DD51">
      <w:pPr>
        <w:pStyle w:val="2"/>
        <w:ind w:firstLine="640" w:firstLineChars="200"/>
        <w:jc w:val="left"/>
        <w:rPr>
          <w:rFonts w:hint="default" w:eastAsia="仿宋_GB2312"/>
          <w:color w:val="auto"/>
          <w:lang w:val="en-US" w:eastAsia="zh-CN"/>
        </w:rPr>
      </w:pPr>
      <w:r>
        <w:rPr>
          <w:rFonts w:hint="eastAsia" w:ascii="仿宋_GB2312" w:hAnsi="仿宋_GB2312" w:eastAsia="仿宋_GB2312" w:cs="仿宋_GB2312"/>
          <w:color w:val="auto"/>
          <w:spacing w:val="0"/>
          <w:sz w:val="32"/>
          <w:szCs w:val="32"/>
          <w:lang w:val="en-US" w:eastAsia="zh-CN"/>
        </w:rPr>
        <w:t>2023年茂林镇</w:t>
      </w:r>
      <w:r>
        <w:rPr>
          <w:rFonts w:hint="eastAsia" w:ascii="Times New Roman" w:hAnsi="Times New Roman" w:eastAsia="仿宋_GB2312" w:cs="Times New Roman"/>
          <w:color w:val="auto"/>
          <w:sz w:val="32"/>
          <w:szCs w:val="32"/>
        </w:rPr>
        <w:t>贯彻落实</w:t>
      </w:r>
      <w:r>
        <w:rPr>
          <w:rFonts w:hint="eastAsia" w:ascii="Times New Roman" w:hAnsi="Times New Roman" w:eastAsia="仿宋_GB2312" w:cs="Times New Roman"/>
          <w:color w:val="auto"/>
          <w:sz w:val="32"/>
          <w:szCs w:val="32"/>
          <w:u w:val="none"/>
          <w:lang w:eastAsia="zh-CN"/>
        </w:rPr>
        <w:t>上级文件精神</w:t>
      </w:r>
      <w:r>
        <w:rPr>
          <w:rFonts w:hint="eastAsia" w:ascii="Times New Roman" w:hAnsi="Times New Roman" w:eastAsia="仿宋_GB2312" w:cs="仿宋"/>
          <w:color w:val="auto"/>
          <w:sz w:val="32"/>
          <w:szCs w:val="32"/>
          <w:u w:val="none"/>
        </w:rPr>
        <w:t>，</w:t>
      </w:r>
      <w:r>
        <w:rPr>
          <w:rFonts w:hint="eastAsia" w:ascii="Times New Roman" w:hAnsi="Times New Roman" w:eastAsia="仿宋_GB2312" w:cs="仿宋"/>
          <w:color w:val="auto"/>
          <w:sz w:val="32"/>
          <w:szCs w:val="32"/>
          <w:u w:val="none"/>
          <w:lang w:eastAsia="zh-CN"/>
        </w:rPr>
        <w:t>压实资金主管部门和使用单位支出责任，</w:t>
      </w:r>
      <w:r>
        <w:rPr>
          <w:rFonts w:hint="eastAsia" w:ascii="Times New Roman" w:hAnsi="Times New Roman" w:eastAsia="仿宋_GB2312" w:cs="Times New Roman"/>
          <w:color w:val="auto"/>
          <w:sz w:val="32"/>
          <w:szCs w:val="32"/>
          <w:u w:val="none"/>
          <w:lang w:eastAsia="zh-CN"/>
        </w:rPr>
        <w:t>全面</w:t>
      </w:r>
      <w:r>
        <w:rPr>
          <w:rFonts w:hint="eastAsia" w:ascii="Times New Roman" w:hAnsi="Times New Roman" w:eastAsia="仿宋_GB2312" w:cs="Times New Roman"/>
          <w:color w:val="auto"/>
          <w:sz w:val="32"/>
          <w:szCs w:val="32"/>
        </w:rPr>
        <w:t>开展202</w:t>
      </w:r>
      <w:r>
        <w:rPr>
          <w:rFonts w:hint="eastAsia" w:ascii="Times New Roman" w:hAnsi="Times New Roman" w:eastAsia="仿宋_GB2312" w:cs="Times New Roman"/>
          <w:color w:val="auto"/>
          <w:sz w:val="32"/>
          <w:szCs w:val="32"/>
          <w:lang w:val="en-US" w:eastAsia="zh-CN"/>
        </w:rPr>
        <w:t>3</w:t>
      </w:r>
      <w:r>
        <w:rPr>
          <w:rFonts w:hint="eastAsia" w:ascii="Times New Roman" w:hAnsi="Times New Roman" w:eastAsia="仿宋_GB2312" w:cs="Times New Roman"/>
          <w:color w:val="auto"/>
          <w:sz w:val="32"/>
          <w:szCs w:val="32"/>
        </w:rPr>
        <w:t>年度预算绩效自评</w:t>
      </w:r>
      <w:r>
        <w:rPr>
          <w:rFonts w:hint="eastAsia" w:ascii="Times New Roman" w:hAnsi="Times New Roman" w:eastAsia="仿宋_GB2312" w:cs="Times New Roman"/>
          <w:color w:val="auto"/>
          <w:sz w:val="32"/>
          <w:szCs w:val="32"/>
          <w:lang w:val="en-US" w:eastAsia="zh-CN"/>
        </w:rPr>
        <w:t>工作</w:t>
      </w:r>
      <w:r>
        <w:rPr>
          <w:rFonts w:hint="eastAsia" w:ascii="Times New Roman" w:hAnsi="Times New Roman" w:eastAsia="仿宋_GB2312" w:cs="Times New Roman"/>
          <w:color w:val="auto"/>
          <w:sz w:val="32"/>
          <w:szCs w:val="32"/>
          <w:lang w:eastAsia="zh-CN"/>
        </w:rPr>
        <w:t>，共完成部门整体支出自评</w:t>
      </w:r>
      <w:r>
        <w:rPr>
          <w:rFonts w:hint="eastAsia" w:ascii="Times New Roman" w:hAnsi="Times New Roman" w:eastAsia="仿宋_GB2312" w:cs="Times New Roman"/>
          <w:color w:val="auto"/>
          <w:sz w:val="32"/>
          <w:szCs w:val="32"/>
          <w:lang w:val="en-US" w:eastAsia="zh-CN"/>
        </w:rPr>
        <w:t>1份，项目支出</w:t>
      </w:r>
      <w:r>
        <w:rPr>
          <w:rFonts w:hint="eastAsia" w:ascii="仿宋_GB2312" w:hAnsi="仿宋_GB2312" w:eastAsia="仿宋_GB2312" w:cs="仿宋_GB2312"/>
          <w:color w:val="auto"/>
          <w:spacing w:val="0"/>
          <w:sz w:val="32"/>
          <w:szCs w:val="32"/>
          <w:lang w:val="en-US" w:eastAsia="zh-CN"/>
        </w:rPr>
        <w:t>134个，项目自评134个，自评覆盖面100%。</w:t>
      </w:r>
    </w:p>
    <w:p w14:paraId="096219B9">
      <w:pPr>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auto"/>
          <w:sz w:val="32"/>
          <w:szCs w:val="32"/>
          <w:lang w:eastAsia="zh-CN"/>
        </w:rPr>
      </w:pPr>
      <w:r>
        <w:rPr>
          <w:rFonts w:hint="eastAsia" w:ascii="Times New Roman" w:hAnsi="Times New Roman" w:eastAsia="黑体" w:cs="Times New Roman"/>
          <w:color w:val="auto"/>
          <w:sz w:val="32"/>
          <w:szCs w:val="32"/>
          <w:lang w:eastAsia="zh-CN"/>
        </w:rPr>
        <w:t>自评结果及分析</w:t>
      </w:r>
    </w:p>
    <w:p w14:paraId="0DCCF675">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3"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楷体_GB2312" w:hAnsi="楷体_GB2312" w:eastAsia="楷体_GB2312" w:cs="楷体_GB2312"/>
          <w:b/>
          <w:bCs/>
          <w:spacing w:val="0"/>
          <w:sz w:val="32"/>
          <w:szCs w:val="32"/>
          <w:lang w:val="en-US" w:eastAsia="zh-CN"/>
        </w:rPr>
        <w:t>（一）部门整体支出绩效自评结果</w:t>
      </w:r>
    </w:p>
    <w:p w14:paraId="7DE511B9">
      <w:pPr>
        <w:widowControl/>
        <w:spacing w:line="600" w:lineRule="exact"/>
        <w:ind w:firstLine="640" w:firstLineChars="200"/>
        <w:jc w:val="left"/>
        <w:rPr>
          <w:rFonts w:hint="default" w:ascii="Times New Roman" w:hAnsi="Times New Roman" w:eastAsia="仿宋_GB2312" w:cs="Times New Roman"/>
          <w:color w:val="auto"/>
          <w:kern w:val="2"/>
          <w:sz w:val="32"/>
          <w:szCs w:val="32"/>
          <w:lang w:val="en-US" w:eastAsia="zh-CN" w:bidi="ar-SA"/>
        </w:rPr>
      </w:pPr>
      <w:r>
        <w:rPr>
          <w:rFonts w:hint="eastAsia" w:ascii="仿宋_GB2312" w:hAnsi="仿宋_GB2312" w:eastAsia="仿宋_GB2312" w:cs="仿宋_GB2312"/>
          <w:color w:val="auto"/>
          <w:spacing w:val="0"/>
          <w:sz w:val="32"/>
          <w:szCs w:val="32"/>
          <w:lang w:val="en-US" w:eastAsia="zh-CN"/>
        </w:rPr>
        <w:t>2023年茂林镇部门整体支出绩效自评得分96.23分，绩效指标完成情况如下：</w:t>
      </w:r>
    </w:p>
    <w:p w14:paraId="0E6A1F14">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1.产出指标</w:t>
      </w:r>
    </w:p>
    <w:p w14:paraId="145DB4ED">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（1）数量指标：</w:t>
      </w:r>
    </w:p>
    <w:p w14:paraId="31B966F8">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fldChar w:fldCharType="begin"/>
      </w:r>
      <w:r>
        <w:rPr>
          <w:rFonts w:hint="eastAsia" w:ascii="仿宋_GB2312" w:hAnsi="仿宋_GB2312" w:eastAsia="仿宋_GB2312" w:cs="仿宋_GB2312"/>
          <w:color w:val="auto"/>
          <w:spacing w:val="0"/>
          <w:sz w:val="32"/>
          <w:szCs w:val="32"/>
          <w:lang w:val="en-US" w:eastAsia="zh-CN"/>
        </w:rPr>
        <w:instrText xml:space="preserve"> = 1 \* GB3 \* MERGEFORMAT </w:instrText>
      </w:r>
      <w:r>
        <w:rPr>
          <w:rFonts w:hint="eastAsia" w:ascii="仿宋_GB2312" w:hAnsi="仿宋_GB2312" w:eastAsia="仿宋_GB2312" w:cs="仿宋_GB2312"/>
          <w:color w:val="auto"/>
          <w:spacing w:val="0"/>
          <w:sz w:val="32"/>
          <w:szCs w:val="32"/>
          <w:lang w:val="en-US" w:eastAsia="zh-CN"/>
        </w:rPr>
        <w:fldChar w:fldCharType="separate"/>
      </w:r>
      <w:r>
        <w:rPr>
          <w:rFonts w:hint="eastAsia" w:ascii="仿宋_GB2312" w:hAnsi="仿宋_GB2312" w:eastAsia="仿宋_GB2312" w:cs="仿宋_GB2312"/>
          <w:color w:val="auto"/>
          <w:spacing w:val="0"/>
          <w:sz w:val="32"/>
          <w:szCs w:val="32"/>
          <w:lang w:val="en-US" w:eastAsia="zh-CN"/>
        </w:rPr>
        <w:t>①</w:t>
      </w:r>
      <w:r>
        <w:rPr>
          <w:rFonts w:hint="eastAsia" w:ascii="仿宋_GB2312" w:hAnsi="仿宋_GB2312" w:eastAsia="仿宋_GB2312" w:cs="仿宋_GB2312"/>
          <w:color w:val="auto"/>
          <w:spacing w:val="0"/>
          <w:sz w:val="32"/>
          <w:szCs w:val="32"/>
          <w:lang w:val="en-US" w:eastAsia="zh-CN"/>
        </w:rPr>
        <w:fldChar w:fldCharType="end"/>
      </w:r>
      <w:r>
        <w:rPr>
          <w:rFonts w:hint="eastAsia" w:ascii="仿宋_GB2312" w:hAnsi="仿宋_GB2312" w:eastAsia="仿宋_GB2312" w:cs="仿宋_GB2312"/>
          <w:color w:val="auto"/>
          <w:spacing w:val="0"/>
          <w:sz w:val="32"/>
          <w:szCs w:val="32"/>
          <w:lang w:val="en-US" w:eastAsia="zh-CN"/>
        </w:rPr>
        <w:t>配合玉东新区推进项目征拆、建设8个</w:t>
      </w:r>
    </w:p>
    <w:p w14:paraId="2F6CD252">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fldChar w:fldCharType="begin"/>
      </w:r>
      <w:r>
        <w:rPr>
          <w:rFonts w:hint="eastAsia" w:ascii="仿宋_GB2312" w:hAnsi="仿宋_GB2312" w:eastAsia="仿宋_GB2312" w:cs="仿宋_GB2312"/>
          <w:color w:val="auto"/>
          <w:spacing w:val="0"/>
          <w:sz w:val="32"/>
          <w:szCs w:val="32"/>
          <w:lang w:val="en-US" w:eastAsia="zh-CN"/>
        </w:rPr>
        <w:instrText xml:space="preserve"> = 2 \* GB3 \* MERGEFORMAT </w:instrText>
      </w:r>
      <w:r>
        <w:rPr>
          <w:rFonts w:hint="eastAsia" w:ascii="仿宋_GB2312" w:hAnsi="仿宋_GB2312" w:eastAsia="仿宋_GB2312" w:cs="仿宋_GB2312"/>
          <w:color w:val="auto"/>
          <w:spacing w:val="0"/>
          <w:sz w:val="32"/>
          <w:szCs w:val="32"/>
          <w:lang w:val="en-US" w:eastAsia="zh-CN"/>
        </w:rPr>
        <w:fldChar w:fldCharType="separate"/>
      </w:r>
      <w:r>
        <w:rPr>
          <w:rFonts w:hint="eastAsia" w:ascii="仿宋_GB2312" w:hAnsi="仿宋_GB2312" w:eastAsia="仿宋_GB2312" w:cs="仿宋_GB2312"/>
          <w:color w:val="auto"/>
          <w:spacing w:val="0"/>
          <w:sz w:val="32"/>
          <w:szCs w:val="32"/>
          <w:lang w:val="en-US" w:eastAsia="zh-CN"/>
        </w:rPr>
        <w:t>②</w:t>
      </w:r>
      <w:r>
        <w:rPr>
          <w:rFonts w:hint="eastAsia" w:ascii="仿宋_GB2312" w:hAnsi="仿宋_GB2312" w:eastAsia="仿宋_GB2312" w:cs="仿宋_GB2312"/>
          <w:color w:val="auto"/>
          <w:spacing w:val="0"/>
          <w:sz w:val="32"/>
          <w:szCs w:val="32"/>
          <w:lang w:val="en-US" w:eastAsia="zh-CN"/>
        </w:rPr>
        <w:fldChar w:fldCharType="end"/>
      </w:r>
      <w:r>
        <w:rPr>
          <w:rFonts w:hint="eastAsia" w:ascii="仿宋_GB2312" w:hAnsi="仿宋_GB2312" w:eastAsia="仿宋_GB2312" w:cs="仿宋_GB2312"/>
          <w:color w:val="auto"/>
          <w:spacing w:val="0"/>
          <w:sz w:val="32"/>
          <w:szCs w:val="32"/>
          <w:lang w:val="en-US" w:eastAsia="zh-CN"/>
        </w:rPr>
        <w:t>发展村级集体经济达到5万元以上的社区个数12个</w:t>
      </w:r>
    </w:p>
    <w:p w14:paraId="5BEFBA4B">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fldChar w:fldCharType="begin"/>
      </w:r>
      <w:r>
        <w:rPr>
          <w:rFonts w:hint="eastAsia" w:ascii="仿宋_GB2312" w:hAnsi="仿宋_GB2312" w:eastAsia="仿宋_GB2312" w:cs="仿宋_GB2312"/>
          <w:color w:val="auto"/>
          <w:spacing w:val="0"/>
          <w:sz w:val="32"/>
          <w:szCs w:val="32"/>
          <w:lang w:val="en-US" w:eastAsia="zh-CN"/>
        </w:rPr>
        <w:instrText xml:space="preserve"> = 3 \* GB3 \* MERGEFORMAT </w:instrText>
      </w:r>
      <w:r>
        <w:rPr>
          <w:rFonts w:hint="eastAsia" w:ascii="仿宋_GB2312" w:hAnsi="仿宋_GB2312" w:eastAsia="仿宋_GB2312" w:cs="仿宋_GB2312"/>
          <w:color w:val="auto"/>
          <w:spacing w:val="0"/>
          <w:sz w:val="32"/>
          <w:szCs w:val="32"/>
          <w:lang w:val="en-US" w:eastAsia="zh-CN"/>
        </w:rPr>
        <w:fldChar w:fldCharType="separate"/>
      </w:r>
      <w:r>
        <w:rPr>
          <w:rFonts w:hint="eastAsia" w:ascii="仿宋_GB2312" w:hAnsi="仿宋_GB2312" w:eastAsia="仿宋_GB2312" w:cs="仿宋_GB2312"/>
          <w:color w:val="auto"/>
          <w:spacing w:val="0"/>
          <w:sz w:val="32"/>
          <w:szCs w:val="32"/>
          <w:lang w:val="en-US" w:eastAsia="zh-CN"/>
        </w:rPr>
        <w:t>③</w:t>
      </w:r>
      <w:r>
        <w:rPr>
          <w:rFonts w:hint="eastAsia" w:ascii="仿宋_GB2312" w:hAnsi="仿宋_GB2312" w:eastAsia="仿宋_GB2312" w:cs="仿宋_GB2312"/>
          <w:color w:val="auto"/>
          <w:spacing w:val="0"/>
          <w:sz w:val="32"/>
          <w:szCs w:val="32"/>
          <w:lang w:val="en-US" w:eastAsia="zh-CN"/>
        </w:rPr>
        <w:fldChar w:fldCharType="end"/>
      </w:r>
      <w:r>
        <w:rPr>
          <w:rFonts w:hint="eastAsia" w:ascii="仿宋_GB2312" w:hAnsi="仿宋_GB2312" w:eastAsia="仿宋_GB2312" w:cs="仿宋_GB2312"/>
          <w:color w:val="auto"/>
          <w:spacing w:val="0"/>
          <w:sz w:val="32"/>
          <w:szCs w:val="32"/>
          <w:lang w:val="en-US" w:eastAsia="zh-CN"/>
        </w:rPr>
        <w:t>清理河道208公里</w:t>
      </w:r>
    </w:p>
    <w:p w14:paraId="46B786AA">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fldChar w:fldCharType="begin"/>
      </w:r>
      <w:r>
        <w:rPr>
          <w:rFonts w:hint="eastAsia" w:ascii="仿宋_GB2312" w:hAnsi="仿宋_GB2312" w:eastAsia="仿宋_GB2312" w:cs="仿宋_GB2312"/>
          <w:color w:val="auto"/>
          <w:spacing w:val="0"/>
          <w:sz w:val="32"/>
          <w:szCs w:val="32"/>
          <w:lang w:val="en-US" w:eastAsia="zh-CN"/>
        </w:rPr>
        <w:instrText xml:space="preserve"> = 4 \* GB3 \* MERGEFORMAT </w:instrText>
      </w:r>
      <w:r>
        <w:rPr>
          <w:rFonts w:hint="eastAsia" w:ascii="仿宋_GB2312" w:hAnsi="仿宋_GB2312" w:eastAsia="仿宋_GB2312" w:cs="仿宋_GB2312"/>
          <w:color w:val="auto"/>
          <w:spacing w:val="0"/>
          <w:sz w:val="32"/>
          <w:szCs w:val="32"/>
          <w:lang w:val="en-US" w:eastAsia="zh-CN"/>
        </w:rPr>
        <w:fldChar w:fldCharType="separate"/>
      </w:r>
      <w:r>
        <w:rPr>
          <w:rFonts w:hint="eastAsia" w:ascii="仿宋_GB2312" w:hAnsi="仿宋_GB2312" w:eastAsia="仿宋_GB2312" w:cs="仿宋_GB2312"/>
          <w:color w:val="auto"/>
          <w:spacing w:val="0"/>
          <w:sz w:val="32"/>
          <w:szCs w:val="32"/>
          <w:lang w:val="en-US" w:eastAsia="zh-CN"/>
        </w:rPr>
        <w:t>④</w:t>
      </w:r>
      <w:r>
        <w:rPr>
          <w:rFonts w:hint="eastAsia" w:ascii="仿宋_GB2312" w:hAnsi="仿宋_GB2312" w:eastAsia="仿宋_GB2312" w:cs="仿宋_GB2312"/>
          <w:color w:val="auto"/>
          <w:spacing w:val="0"/>
          <w:sz w:val="32"/>
          <w:szCs w:val="32"/>
          <w:lang w:val="en-US" w:eastAsia="zh-CN"/>
        </w:rPr>
        <w:fldChar w:fldCharType="end"/>
      </w:r>
      <w:r>
        <w:rPr>
          <w:rFonts w:hint="eastAsia" w:ascii="仿宋_GB2312" w:hAnsi="仿宋_GB2312" w:eastAsia="仿宋_GB2312" w:cs="仿宋_GB2312"/>
          <w:color w:val="auto"/>
          <w:spacing w:val="0"/>
          <w:sz w:val="32"/>
          <w:szCs w:val="32"/>
          <w:lang w:val="en-US" w:eastAsia="zh-CN"/>
        </w:rPr>
        <w:t>救助特困人员数326人</w:t>
      </w:r>
    </w:p>
    <w:p w14:paraId="3CC2A375">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（2）质量指标：</w:t>
      </w:r>
    </w:p>
    <w:p w14:paraId="3248A066">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fldChar w:fldCharType="begin"/>
      </w:r>
      <w:r>
        <w:rPr>
          <w:rFonts w:hint="eastAsia" w:ascii="仿宋_GB2312" w:hAnsi="仿宋_GB2312" w:eastAsia="仿宋_GB2312" w:cs="仿宋_GB2312"/>
          <w:color w:val="auto"/>
          <w:spacing w:val="0"/>
          <w:sz w:val="32"/>
          <w:szCs w:val="32"/>
          <w:lang w:val="en-US" w:eastAsia="zh-CN"/>
        </w:rPr>
        <w:instrText xml:space="preserve"> = 1 \* GB3 \* MERGEFORMAT </w:instrText>
      </w:r>
      <w:r>
        <w:rPr>
          <w:rFonts w:hint="eastAsia" w:ascii="仿宋_GB2312" w:hAnsi="仿宋_GB2312" w:eastAsia="仿宋_GB2312" w:cs="仿宋_GB2312"/>
          <w:color w:val="auto"/>
          <w:spacing w:val="0"/>
          <w:sz w:val="32"/>
          <w:szCs w:val="32"/>
          <w:lang w:val="en-US" w:eastAsia="zh-CN"/>
        </w:rPr>
        <w:fldChar w:fldCharType="separate"/>
      </w:r>
      <w:r>
        <w:rPr>
          <w:rFonts w:hint="eastAsia" w:ascii="仿宋_GB2312" w:hAnsi="仿宋_GB2312" w:eastAsia="仿宋_GB2312" w:cs="仿宋_GB2312"/>
          <w:color w:val="auto"/>
          <w:spacing w:val="0"/>
          <w:sz w:val="32"/>
          <w:szCs w:val="32"/>
          <w:lang w:val="en-US" w:eastAsia="zh-CN"/>
        </w:rPr>
        <w:t>①</w:t>
      </w:r>
      <w:r>
        <w:rPr>
          <w:rFonts w:hint="eastAsia" w:ascii="仿宋_GB2312" w:hAnsi="仿宋_GB2312" w:eastAsia="仿宋_GB2312" w:cs="仿宋_GB2312"/>
          <w:color w:val="auto"/>
          <w:spacing w:val="0"/>
          <w:sz w:val="32"/>
          <w:szCs w:val="32"/>
          <w:lang w:val="en-US" w:eastAsia="zh-CN"/>
        </w:rPr>
        <w:fldChar w:fldCharType="end"/>
      </w:r>
      <w:r>
        <w:rPr>
          <w:rFonts w:hint="eastAsia" w:ascii="仿宋_GB2312" w:hAnsi="仿宋_GB2312" w:eastAsia="仿宋_GB2312" w:cs="仿宋_GB2312"/>
          <w:color w:val="auto"/>
          <w:spacing w:val="0"/>
          <w:sz w:val="32"/>
          <w:szCs w:val="32"/>
          <w:lang w:val="en-US" w:eastAsia="zh-CN"/>
        </w:rPr>
        <w:t>完成全镇粮食种植任务105.95%</w:t>
      </w:r>
    </w:p>
    <w:p w14:paraId="5E66E10A">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fldChar w:fldCharType="begin"/>
      </w:r>
      <w:r>
        <w:rPr>
          <w:rFonts w:hint="eastAsia" w:ascii="仿宋_GB2312" w:hAnsi="仿宋_GB2312" w:eastAsia="仿宋_GB2312" w:cs="仿宋_GB2312"/>
          <w:color w:val="auto"/>
          <w:spacing w:val="0"/>
          <w:sz w:val="32"/>
          <w:szCs w:val="32"/>
          <w:lang w:val="en-US" w:eastAsia="zh-CN"/>
        </w:rPr>
        <w:instrText xml:space="preserve"> = 2 \* GB3 \* MERGEFORMAT </w:instrText>
      </w:r>
      <w:r>
        <w:rPr>
          <w:rFonts w:hint="eastAsia" w:ascii="仿宋_GB2312" w:hAnsi="仿宋_GB2312" w:eastAsia="仿宋_GB2312" w:cs="仿宋_GB2312"/>
          <w:color w:val="auto"/>
          <w:spacing w:val="0"/>
          <w:sz w:val="32"/>
          <w:szCs w:val="32"/>
          <w:lang w:val="en-US" w:eastAsia="zh-CN"/>
        </w:rPr>
        <w:fldChar w:fldCharType="separate"/>
      </w:r>
      <w:r>
        <w:rPr>
          <w:rFonts w:hint="eastAsia" w:ascii="仿宋_GB2312" w:hAnsi="仿宋_GB2312" w:eastAsia="仿宋_GB2312" w:cs="仿宋_GB2312"/>
          <w:color w:val="auto"/>
          <w:spacing w:val="0"/>
          <w:sz w:val="32"/>
          <w:szCs w:val="32"/>
          <w:lang w:val="en-US" w:eastAsia="zh-CN"/>
        </w:rPr>
        <w:t>②</w:t>
      </w:r>
      <w:r>
        <w:rPr>
          <w:rFonts w:hint="eastAsia" w:ascii="仿宋_GB2312" w:hAnsi="仿宋_GB2312" w:eastAsia="仿宋_GB2312" w:cs="仿宋_GB2312"/>
          <w:color w:val="auto"/>
          <w:spacing w:val="0"/>
          <w:sz w:val="32"/>
          <w:szCs w:val="32"/>
          <w:lang w:val="en-US" w:eastAsia="zh-CN"/>
        </w:rPr>
        <w:fldChar w:fldCharType="end"/>
      </w:r>
      <w:r>
        <w:rPr>
          <w:rFonts w:hint="eastAsia" w:ascii="仿宋_GB2312" w:hAnsi="仿宋_GB2312" w:eastAsia="仿宋_GB2312" w:cs="仿宋_GB2312"/>
          <w:color w:val="auto"/>
          <w:spacing w:val="0"/>
          <w:sz w:val="32"/>
          <w:szCs w:val="32"/>
          <w:lang w:val="en-US" w:eastAsia="zh-CN"/>
        </w:rPr>
        <w:t>落实城乡低保率100%</w:t>
      </w:r>
    </w:p>
    <w:p w14:paraId="423B05D9">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fldChar w:fldCharType="begin"/>
      </w:r>
      <w:r>
        <w:rPr>
          <w:rFonts w:hint="eastAsia" w:ascii="仿宋_GB2312" w:hAnsi="仿宋_GB2312" w:eastAsia="仿宋_GB2312" w:cs="仿宋_GB2312"/>
          <w:color w:val="auto"/>
          <w:spacing w:val="0"/>
          <w:sz w:val="32"/>
          <w:szCs w:val="32"/>
          <w:lang w:val="en-US" w:eastAsia="zh-CN"/>
        </w:rPr>
        <w:instrText xml:space="preserve"> = 3 \* GB3 \* MERGEFORMAT </w:instrText>
      </w:r>
      <w:r>
        <w:rPr>
          <w:rFonts w:hint="eastAsia" w:ascii="仿宋_GB2312" w:hAnsi="仿宋_GB2312" w:eastAsia="仿宋_GB2312" w:cs="仿宋_GB2312"/>
          <w:color w:val="auto"/>
          <w:spacing w:val="0"/>
          <w:sz w:val="32"/>
          <w:szCs w:val="32"/>
          <w:lang w:val="en-US" w:eastAsia="zh-CN"/>
        </w:rPr>
        <w:fldChar w:fldCharType="separate"/>
      </w:r>
      <w:r>
        <w:rPr>
          <w:rFonts w:hint="eastAsia" w:ascii="仿宋_GB2312" w:hAnsi="仿宋_GB2312" w:eastAsia="仿宋_GB2312" w:cs="仿宋_GB2312"/>
          <w:color w:val="auto"/>
          <w:spacing w:val="0"/>
          <w:sz w:val="32"/>
          <w:szCs w:val="32"/>
          <w:lang w:val="en-US" w:eastAsia="zh-CN"/>
        </w:rPr>
        <w:t>③</w:t>
      </w:r>
      <w:r>
        <w:rPr>
          <w:rFonts w:hint="eastAsia" w:ascii="仿宋_GB2312" w:hAnsi="仿宋_GB2312" w:eastAsia="仿宋_GB2312" w:cs="仿宋_GB2312"/>
          <w:color w:val="auto"/>
          <w:spacing w:val="0"/>
          <w:sz w:val="32"/>
          <w:szCs w:val="32"/>
          <w:lang w:val="en-US" w:eastAsia="zh-CN"/>
        </w:rPr>
        <w:fldChar w:fldCharType="end"/>
      </w:r>
      <w:r>
        <w:rPr>
          <w:rFonts w:hint="eastAsia" w:ascii="仿宋_GB2312" w:hAnsi="仿宋_GB2312" w:eastAsia="仿宋_GB2312" w:cs="仿宋_GB2312"/>
          <w:color w:val="auto"/>
          <w:spacing w:val="0"/>
          <w:sz w:val="32"/>
          <w:szCs w:val="32"/>
          <w:lang w:val="en-US" w:eastAsia="zh-CN"/>
        </w:rPr>
        <w:t>每月开展一次清河行动</w:t>
      </w:r>
      <w:r>
        <w:rPr>
          <w:rFonts w:hint="eastAsia" w:ascii="仿宋_GB2312" w:hAnsi="仿宋_GB2312" w:eastAsia="仿宋_GB2312" w:cs="仿宋_GB2312"/>
          <w:color w:val="auto"/>
          <w:spacing w:val="0"/>
          <w:sz w:val="32"/>
          <w:szCs w:val="32"/>
          <w:lang w:val="en-US" w:eastAsia="zh-CN"/>
        </w:rPr>
        <w:tab/>
      </w:r>
      <w:r>
        <w:rPr>
          <w:rFonts w:hint="eastAsia" w:ascii="仿宋_GB2312" w:hAnsi="仿宋_GB2312" w:eastAsia="仿宋_GB2312" w:cs="仿宋_GB2312"/>
          <w:color w:val="auto"/>
          <w:spacing w:val="0"/>
          <w:sz w:val="32"/>
          <w:szCs w:val="32"/>
          <w:lang w:val="en-US" w:eastAsia="zh-CN"/>
        </w:rPr>
        <w:tab/>
      </w:r>
    </w:p>
    <w:p w14:paraId="096C93C8">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fldChar w:fldCharType="begin"/>
      </w:r>
      <w:r>
        <w:rPr>
          <w:rFonts w:hint="eastAsia" w:ascii="仿宋_GB2312" w:hAnsi="仿宋_GB2312" w:eastAsia="仿宋_GB2312" w:cs="仿宋_GB2312"/>
          <w:color w:val="auto"/>
          <w:spacing w:val="0"/>
          <w:sz w:val="32"/>
          <w:szCs w:val="32"/>
          <w:lang w:val="en-US" w:eastAsia="zh-CN"/>
        </w:rPr>
        <w:instrText xml:space="preserve"> = 4 \* GB3 \* MERGEFORMAT </w:instrText>
      </w:r>
      <w:r>
        <w:rPr>
          <w:rFonts w:hint="eastAsia" w:ascii="仿宋_GB2312" w:hAnsi="仿宋_GB2312" w:eastAsia="仿宋_GB2312" w:cs="仿宋_GB2312"/>
          <w:color w:val="auto"/>
          <w:spacing w:val="0"/>
          <w:sz w:val="32"/>
          <w:szCs w:val="32"/>
          <w:lang w:val="en-US" w:eastAsia="zh-CN"/>
        </w:rPr>
        <w:fldChar w:fldCharType="separate"/>
      </w:r>
      <w:r>
        <w:rPr>
          <w:rFonts w:hint="eastAsia" w:ascii="仿宋_GB2312" w:hAnsi="仿宋_GB2312" w:eastAsia="仿宋_GB2312" w:cs="仿宋_GB2312"/>
          <w:color w:val="auto"/>
          <w:spacing w:val="0"/>
          <w:sz w:val="32"/>
          <w:szCs w:val="32"/>
          <w:lang w:val="en-US" w:eastAsia="zh-CN"/>
        </w:rPr>
        <w:t>④</w:t>
      </w:r>
      <w:r>
        <w:rPr>
          <w:rFonts w:hint="eastAsia" w:ascii="仿宋_GB2312" w:hAnsi="仿宋_GB2312" w:eastAsia="仿宋_GB2312" w:cs="仿宋_GB2312"/>
          <w:color w:val="auto"/>
          <w:spacing w:val="0"/>
          <w:sz w:val="32"/>
          <w:szCs w:val="32"/>
          <w:lang w:val="en-US" w:eastAsia="zh-CN"/>
        </w:rPr>
        <w:fldChar w:fldCharType="end"/>
      </w:r>
      <w:r>
        <w:rPr>
          <w:rFonts w:hint="eastAsia" w:ascii="仿宋_GB2312" w:hAnsi="仿宋_GB2312" w:eastAsia="仿宋_GB2312" w:cs="仿宋_GB2312"/>
          <w:color w:val="auto"/>
          <w:spacing w:val="0"/>
          <w:sz w:val="32"/>
          <w:szCs w:val="32"/>
          <w:lang w:val="en-US" w:eastAsia="zh-CN"/>
        </w:rPr>
        <w:t>矛盾纠纷排查调处率98.22%</w:t>
      </w:r>
    </w:p>
    <w:p w14:paraId="11612A09">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（3）时效指标：</w:t>
      </w:r>
    </w:p>
    <w:p w14:paraId="64C47E3C">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完成时间2023年12月31日前。</w:t>
      </w:r>
    </w:p>
    <w:p w14:paraId="71A7DF2A">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（4）成本指标：</w:t>
      </w:r>
    </w:p>
    <w:p w14:paraId="5EFBBB7D">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default" w:ascii="仿宋_GB2312" w:hAnsi="仿宋_GB2312" w:eastAsia="仿宋_GB2312" w:cs="仿宋_GB2312"/>
          <w:color w:val="auto"/>
          <w:spacing w:val="0"/>
          <w:sz w:val="32"/>
          <w:szCs w:val="32"/>
          <w:lang w:val="en-US" w:eastAsia="zh-CN"/>
        </w:rPr>
        <w:t>投入资金7586.358062</w:t>
      </w:r>
      <w:r>
        <w:rPr>
          <w:rFonts w:hint="eastAsia" w:ascii="仿宋_GB2312" w:hAnsi="仿宋_GB2312" w:eastAsia="仿宋_GB2312" w:cs="仿宋_GB2312"/>
          <w:color w:val="auto"/>
          <w:spacing w:val="0"/>
          <w:sz w:val="32"/>
          <w:szCs w:val="32"/>
          <w:lang w:val="en-US" w:eastAsia="zh-CN"/>
        </w:rPr>
        <w:t>万元。</w:t>
      </w:r>
    </w:p>
    <w:p w14:paraId="7DB9171C">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2.效益指标</w:t>
      </w:r>
    </w:p>
    <w:p w14:paraId="1AC84CE1">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（1）经济效益指标：</w:t>
      </w:r>
    </w:p>
    <w:p w14:paraId="73C5E712">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固定资产投资7234万元</w:t>
      </w:r>
    </w:p>
    <w:p w14:paraId="4E9EA130">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（2）社会效益指标：</w:t>
      </w:r>
    </w:p>
    <w:p w14:paraId="139A9E76">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fldChar w:fldCharType="begin"/>
      </w:r>
      <w:r>
        <w:rPr>
          <w:rFonts w:hint="eastAsia" w:ascii="仿宋_GB2312" w:hAnsi="仿宋_GB2312" w:eastAsia="仿宋_GB2312" w:cs="仿宋_GB2312"/>
          <w:color w:val="auto"/>
          <w:spacing w:val="0"/>
          <w:sz w:val="32"/>
          <w:szCs w:val="32"/>
          <w:lang w:val="en-US" w:eastAsia="zh-CN"/>
        </w:rPr>
        <w:instrText xml:space="preserve"> = 1 \* GB3 \* MERGEFORMAT </w:instrText>
      </w:r>
      <w:r>
        <w:rPr>
          <w:rFonts w:hint="eastAsia" w:ascii="仿宋_GB2312" w:hAnsi="仿宋_GB2312" w:eastAsia="仿宋_GB2312" w:cs="仿宋_GB2312"/>
          <w:color w:val="auto"/>
          <w:spacing w:val="0"/>
          <w:sz w:val="32"/>
          <w:szCs w:val="32"/>
          <w:lang w:val="en-US" w:eastAsia="zh-CN"/>
        </w:rPr>
        <w:fldChar w:fldCharType="separate"/>
      </w:r>
      <w:r>
        <w:rPr>
          <w:rFonts w:hint="eastAsia" w:ascii="仿宋_GB2312" w:hAnsi="仿宋_GB2312" w:eastAsia="仿宋_GB2312" w:cs="仿宋_GB2312"/>
          <w:color w:val="auto"/>
          <w:spacing w:val="0"/>
          <w:sz w:val="32"/>
          <w:szCs w:val="32"/>
          <w:lang w:val="en-US" w:eastAsia="zh-CN"/>
        </w:rPr>
        <w:t>①</w:t>
      </w:r>
      <w:r>
        <w:rPr>
          <w:rFonts w:hint="eastAsia" w:ascii="仿宋_GB2312" w:hAnsi="仿宋_GB2312" w:eastAsia="仿宋_GB2312" w:cs="仿宋_GB2312"/>
          <w:color w:val="auto"/>
          <w:spacing w:val="0"/>
          <w:sz w:val="32"/>
          <w:szCs w:val="32"/>
          <w:lang w:val="en-US" w:eastAsia="zh-CN"/>
        </w:rPr>
        <w:fldChar w:fldCharType="end"/>
      </w:r>
      <w:r>
        <w:rPr>
          <w:rFonts w:hint="eastAsia" w:ascii="仿宋_GB2312" w:hAnsi="仿宋_GB2312" w:eastAsia="仿宋_GB2312" w:cs="仿宋_GB2312"/>
          <w:color w:val="auto"/>
          <w:spacing w:val="0"/>
          <w:sz w:val="32"/>
          <w:szCs w:val="32"/>
          <w:lang w:val="en-US" w:eastAsia="zh-CN"/>
        </w:rPr>
        <w:t>维护正常的土地管理秩序，优化征拆工作环境维护正常的土地管理秩序，优化征拆工作环境</w:t>
      </w:r>
    </w:p>
    <w:p w14:paraId="6C520959">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fldChar w:fldCharType="begin"/>
      </w:r>
      <w:r>
        <w:rPr>
          <w:rFonts w:hint="eastAsia" w:ascii="仿宋_GB2312" w:hAnsi="仿宋_GB2312" w:eastAsia="仿宋_GB2312" w:cs="仿宋_GB2312"/>
          <w:color w:val="auto"/>
          <w:spacing w:val="0"/>
          <w:sz w:val="32"/>
          <w:szCs w:val="32"/>
          <w:lang w:val="en-US" w:eastAsia="zh-CN"/>
        </w:rPr>
        <w:instrText xml:space="preserve"> = 2 \* GB3 \* MERGEFORMAT </w:instrText>
      </w:r>
      <w:r>
        <w:rPr>
          <w:rFonts w:hint="eastAsia" w:ascii="仿宋_GB2312" w:hAnsi="仿宋_GB2312" w:eastAsia="仿宋_GB2312" w:cs="仿宋_GB2312"/>
          <w:color w:val="auto"/>
          <w:spacing w:val="0"/>
          <w:sz w:val="32"/>
          <w:szCs w:val="32"/>
          <w:lang w:val="en-US" w:eastAsia="zh-CN"/>
        </w:rPr>
        <w:fldChar w:fldCharType="separate"/>
      </w:r>
      <w:r>
        <w:rPr>
          <w:rFonts w:hint="eastAsia" w:ascii="仿宋_GB2312" w:hAnsi="仿宋_GB2312" w:eastAsia="仿宋_GB2312" w:cs="仿宋_GB2312"/>
          <w:color w:val="auto"/>
          <w:spacing w:val="0"/>
          <w:sz w:val="32"/>
          <w:szCs w:val="32"/>
          <w:lang w:val="en-US" w:eastAsia="zh-CN"/>
        </w:rPr>
        <w:t>②</w:t>
      </w:r>
      <w:r>
        <w:rPr>
          <w:rFonts w:hint="eastAsia" w:ascii="仿宋_GB2312" w:hAnsi="仿宋_GB2312" w:eastAsia="仿宋_GB2312" w:cs="仿宋_GB2312"/>
          <w:color w:val="auto"/>
          <w:spacing w:val="0"/>
          <w:sz w:val="32"/>
          <w:szCs w:val="32"/>
          <w:lang w:val="en-US" w:eastAsia="zh-CN"/>
        </w:rPr>
        <w:fldChar w:fldCharType="end"/>
      </w:r>
      <w:r>
        <w:rPr>
          <w:rFonts w:hint="eastAsia" w:ascii="仿宋_GB2312" w:hAnsi="仿宋_GB2312" w:eastAsia="仿宋_GB2312" w:cs="仿宋_GB2312"/>
          <w:color w:val="auto"/>
          <w:spacing w:val="0"/>
          <w:sz w:val="32"/>
          <w:szCs w:val="32"/>
          <w:lang w:val="en-US" w:eastAsia="zh-CN"/>
        </w:rPr>
        <w:t>排查和化解关系群众切身利益的矛盾纠纷，维护社会稳定</w:t>
      </w:r>
    </w:p>
    <w:p w14:paraId="0DA7FA82">
      <w:pPr>
        <w:widowControl/>
        <w:spacing w:line="600" w:lineRule="exact"/>
        <w:ind w:firstLine="640" w:firstLineChars="200"/>
        <w:jc w:val="left"/>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fldChar w:fldCharType="begin"/>
      </w:r>
      <w:r>
        <w:rPr>
          <w:rFonts w:hint="eastAsia" w:ascii="仿宋_GB2312" w:hAnsi="仿宋_GB2312" w:eastAsia="仿宋_GB2312" w:cs="仿宋_GB2312"/>
          <w:color w:val="auto"/>
          <w:spacing w:val="0"/>
          <w:sz w:val="32"/>
          <w:szCs w:val="32"/>
          <w:lang w:val="en-US" w:eastAsia="zh-CN"/>
        </w:rPr>
        <w:instrText xml:space="preserve"> = 3 \* GB3 \* MERGEFORMAT </w:instrText>
      </w:r>
      <w:r>
        <w:rPr>
          <w:rFonts w:hint="eastAsia" w:ascii="仿宋_GB2312" w:hAnsi="仿宋_GB2312" w:eastAsia="仿宋_GB2312" w:cs="仿宋_GB2312"/>
          <w:color w:val="auto"/>
          <w:spacing w:val="0"/>
          <w:sz w:val="32"/>
          <w:szCs w:val="32"/>
          <w:lang w:val="en-US" w:eastAsia="zh-CN"/>
        </w:rPr>
        <w:fldChar w:fldCharType="separate"/>
      </w:r>
      <w:r>
        <w:rPr>
          <w:rFonts w:hint="eastAsia" w:ascii="仿宋_GB2312" w:hAnsi="仿宋_GB2312" w:eastAsia="仿宋_GB2312" w:cs="仿宋_GB2312"/>
          <w:color w:val="auto"/>
          <w:spacing w:val="0"/>
          <w:sz w:val="32"/>
          <w:szCs w:val="32"/>
          <w:lang w:val="en-US" w:eastAsia="zh-CN"/>
        </w:rPr>
        <w:t>③</w:t>
      </w:r>
      <w:r>
        <w:rPr>
          <w:rFonts w:hint="eastAsia" w:ascii="仿宋_GB2312" w:hAnsi="仿宋_GB2312" w:eastAsia="仿宋_GB2312" w:cs="仿宋_GB2312"/>
          <w:color w:val="auto"/>
          <w:spacing w:val="0"/>
          <w:sz w:val="32"/>
          <w:szCs w:val="32"/>
          <w:lang w:val="en-US" w:eastAsia="zh-CN"/>
        </w:rPr>
        <w:fldChar w:fldCharType="end"/>
      </w:r>
      <w:r>
        <w:rPr>
          <w:rFonts w:hint="eastAsia" w:ascii="仿宋_GB2312" w:hAnsi="仿宋_GB2312" w:eastAsia="仿宋_GB2312" w:cs="仿宋_GB2312"/>
          <w:color w:val="auto"/>
          <w:spacing w:val="0"/>
          <w:sz w:val="32"/>
          <w:szCs w:val="32"/>
          <w:lang w:val="en-US" w:eastAsia="zh-CN"/>
        </w:rPr>
        <w:t>多样化开展各项文化活动，丰富群众生活，满足群众精神需求</w:t>
      </w:r>
    </w:p>
    <w:p w14:paraId="700C6835">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（3）生态效益指标：</w:t>
      </w:r>
    </w:p>
    <w:p w14:paraId="05D3E44F">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color w:val="auto"/>
          <w:spacing w:val="0"/>
          <w:sz w:val="32"/>
          <w:szCs w:val="32"/>
          <w:lang w:val="en-US" w:eastAsia="zh-CN"/>
        </w:rPr>
        <w:fldChar w:fldCharType="begin"/>
      </w:r>
      <w:r>
        <w:rPr>
          <w:rFonts w:hint="eastAsia" w:ascii="仿宋_GB2312" w:hAnsi="仿宋_GB2312" w:eastAsia="仿宋_GB2312" w:cs="仿宋_GB2312"/>
          <w:color w:val="auto"/>
          <w:spacing w:val="0"/>
          <w:sz w:val="32"/>
          <w:szCs w:val="32"/>
          <w:lang w:val="en-US" w:eastAsia="zh-CN"/>
        </w:rPr>
        <w:instrText xml:space="preserve"> = 1 \* GB3 \* MERGEFORMAT </w:instrText>
      </w:r>
      <w:r>
        <w:rPr>
          <w:rFonts w:hint="eastAsia" w:ascii="仿宋_GB2312" w:hAnsi="仿宋_GB2312" w:eastAsia="仿宋_GB2312" w:cs="仿宋_GB2312"/>
          <w:color w:val="auto"/>
          <w:spacing w:val="0"/>
          <w:sz w:val="32"/>
          <w:szCs w:val="32"/>
          <w:lang w:val="en-US" w:eastAsia="zh-CN"/>
        </w:rPr>
        <w:fldChar w:fldCharType="separate"/>
      </w:r>
      <w:r>
        <w:rPr>
          <w:rFonts w:hint="eastAsia" w:ascii="仿宋_GB2312" w:hAnsi="仿宋_GB2312" w:eastAsia="仿宋_GB2312" w:cs="仿宋_GB2312"/>
          <w:color w:val="auto"/>
          <w:spacing w:val="0"/>
          <w:sz w:val="32"/>
          <w:szCs w:val="32"/>
          <w:lang w:val="en-US" w:eastAsia="zh-CN"/>
        </w:rPr>
        <w:t>①</w:t>
      </w:r>
      <w:r>
        <w:rPr>
          <w:rFonts w:hint="eastAsia" w:ascii="仿宋_GB2312" w:hAnsi="仿宋_GB2312" w:eastAsia="仿宋_GB2312" w:cs="仿宋_GB2312"/>
          <w:color w:val="auto"/>
          <w:spacing w:val="0"/>
          <w:sz w:val="32"/>
          <w:szCs w:val="32"/>
          <w:lang w:val="en-US" w:eastAsia="zh-CN"/>
        </w:rPr>
        <w:fldChar w:fldCharType="end"/>
      </w:r>
      <w:r>
        <w:rPr>
          <w:rFonts w:hint="eastAsia" w:ascii="仿宋_GB2312" w:hAnsi="仿宋_GB2312" w:eastAsia="仿宋_GB2312" w:cs="仿宋_GB2312"/>
          <w:bCs/>
          <w:color w:val="auto"/>
          <w:sz w:val="32"/>
          <w:szCs w:val="32"/>
          <w:lang w:val="en-US" w:eastAsia="zh-CN"/>
        </w:rPr>
        <w:t>狠抓大气污染防治，加强宣传防治工作，从严加强管控，从源头打击减少大气污染</w:t>
      </w:r>
    </w:p>
    <w:p w14:paraId="3310BA6F">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color w:val="auto"/>
          <w:spacing w:val="0"/>
          <w:sz w:val="32"/>
          <w:szCs w:val="32"/>
          <w:lang w:val="en-US" w:eastAsia="zh-CN"/>
        </w:rPr>
        <w:fldChar w:fldCharType="begin"/>
      </w:r>
      <w:r>
        <w:rPr>
          <w:rFonts w:hint="eastAsia" w:ascii="仿宋_GB2312" w:hAnsi="仿宋_GB2312" w:eastAsia="仿宋_GB2312" w:cs="仿宋_GB2312"/>
          <w:color w:val="auto"/>
          <w:spacing w:val="0"/>
          <w:sz w:val="32"/>
          <w:szCs w:val="32"/>
          <w:lang w:val="en-US" w:eastAsia="zh-CN"/>
        </w:rPr>
        <w:instrText xml:space="preserve"> = 2 \* GB3 \* MERGEFORMAT </w:instrText>
      </w:r>
      <w:r>
        <w:rPr>
          <w:rFonts w:hint="eastAsia" w:ascii="仿宋_GB2312" w:hAnsi="仿宋_GB2312" w:eastAsia="仿宋_GB2312" w:cs="仿宋_GB2312"/>
          <w:color w:val="auto"/>
          <w:spacing w:val="0"/>
          <w:sz w:val="32"/>
          <w:szCs w:val="32"/>
          <w:lang w:val="en-US" w:eastAsia="zh-CN"/>
        </w:rPr>
        <w:fldChar w:fldCharType="separate"/>
      </w:r>
      <w:r>
        <w:rPr>
          <w:rFonts w:hint="eastAsia" w:ascii="仿宋_GB2312" w:hAnsi="仿宋_GB2312" w:eastAsia="仿宋_GB2312" w:cs="仿宋_GB2312"/>
          <w:color w:val="auto"/>
          <w:spacing w:val="0"/>
          <w:sz w:val="32"/>
          <w:szCs w:val="32"/>
          <w:lang w:val="en-US" w:eastAsia="zh-CN"/>
        </w:rPr>
        <w:t>②</w:t>
      </w:r>
      <w:r>
        <w:rPr>
          <w:rFonts w:hint="eastAsia" w:ascii="仿宋_GB2312" w:hAnsi="仿宋_GB2312" w:eastAsia="仿宋_GB2312" w:cs="仿宋_GB2312"/>
          <w:color w:val="auto"/>
          <w:spacing w:val="0"/>
          <w:sz w:val="32"/>
          <w:szCs w:val="32"/>
          <w:lang w:val="en-US" w:eastAsia="zh-CN"/>
        </w:rPr>
        <w:fldChar w:fldCharType="end"/>
      </w:r>
      <w:r>
        <w:rPr>
          <w:rFonts w:hint="eastAsia" w:ascii="仿宋_GB2312" w:hAnsi="仿宋_GB2312" w:eastAsia="仿宋_GB2312" w:cs="仿宋_GB2312"/>
          <w:bCs/>
          <w:color w:val="auto"/>
          <w:sz w:val="32"/>
          <w:szCs w:val="32"/>
          <w:lang w:val="en-US" w:eastAsia="zh-CN"/>
        </w:rPr>
        <w:t>严格执行落实河长制，开展清“四乱”活动，突出做好重点区域、重点流域的环境保护工作</w:t>
      </w:r>
    </w:p>
    <w:p w14:paraId="172DE3F2">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（4）可持续影响指标：</w:t>
      </w:r>
    </w:p>
    <w:p w14:paraId="4AEFC50C">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color w:val="auto"/>
          <w:spacing w:val="0"/>
          <w:sz w:val="32"/>
          <w:szCs w:val="32"/>
          <w:lang w:val="en-US" w:eastAsia="zh-CN"/>
        </w:rPr>
        <w:fldChar w:fldCharType="begin"/>
      </w:r>
      <w:r>
        <w:rPr>
          <w:rFonts w:hint="eastAsia" w:ascii="仿宋_GB2312" w:hAnsi="仿宋_GB2312" w:eastAsia="仿宋_GB2312" w:cs="仿宋_GB2312"/>
          <w:color w:val="auto"/>
          <w:spacing w:val="0"/>
          <w:sz w:val="32"/>
          <w:szCs w:val="32"/>
          <w:lang w:val="en-US" w:eastAsia="zh-CN"/>
        </w:rPr>
        <w:instrText xml:space="preserve"> = 1 \* GB3 \* MERGEFORMAT </w:instrText>
      </w:r>
      <w:r>
        <w:rPr>
          <w:rFonts w:hint="eastAsia" w:ascii="仿宋_GB2312" w:hAnsi="仿宋_GB2312" w:eastAsia="仿宋_GB2312" w:cs="仿宋_GB2312"/>
          <w:color w:val="auto"/>
          <w:spacing w:val="0"/>
          <w:sz w:val="32"/>
          <w:szCs w:val="32"/>
          <w:lang w:val="en-US" w:eastAsia="zh-CN"/>
        </w:rPr>
        <w:fldChar w:fldCharType="separate"/>
      </w:r>
      <w:r>
        <w:rPr>
          <w:rFonts w:hint="eastAsia" w:ascii="仿宋_GB2312" w:hAnsi="仿宋_GB2312" w:eastAsia="仿宋_GB2312" w:cs="仿宋_GB2312"/>
          <w:color w:val="auto"/>
          <w:spacing w:val="0"/>
          <w:sz w:val="32"/>
          <w:szCs w:val="32"/>
          <w:lang w:val="en-US" w:eastAsia="zh-CN"/>
        </w:rPr>
        <w:t>①</w:t>
      </w:r>
      <w:r>
        <w:rPr>
          <w:rFonts w:hint="eastAsia" w:ascii="仿宋_GB2312" w:hAnsi="仿宋_GB2312" w:eastAsia="仿宋_GB2312" w:cs="仿宋_GB2312"/>
          <w:color w:val="auto"/>
          <w:spacing w:val="0"/>
          <w:sz w:val="32"/>
          <w:szCs w:val="32"/>
          <w:lang w:val="en-US" w:eastAsia="zh-CN"/>
        </w:rPr>
        <w:fldChar w:fldCharType="end"/>
      </w:r>
      <w:r>
        <w:rPr>
          <w:rFonts w:hint="eastAsia" w:ascii="仿宋_GB2312" w:hAnsi="仿宋_GB2312" w:eastAsia="仿宋_GB2312" w:cs="仿宋_GB2312"/>
          <w:bCs/>
          <w:color w:val="auto"/>
          <w:sz w:val="32"/>
          <w:szCs w:val="32"/>
          <w:lang w:val="en-US" w:eastAsia="zh-CN"/>
        </w:rPr>
        <w:t>开展常态化排查，抓好对脱贫人口的监测，全镇无返贫风险户。强化整治人居环境，改善乡村风貌，全面推进乡村振兴。</w:t>
      </w:r>
    </w:p>
    <w:p w14:paraId="17B726CB">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color w:val="auto"/>
          <w:spacing w:val="0"/>
          <w:sz w:val="32"/>
          <w:szCs w:val="32"/>
          <w:lang w:val="en-US" w:eastAsia="zh-CN"/>
        </w:rPr>
        <w:fldChar w:fldCharType="begin"/>
      </w:r>
      <w:r>
        <w:rPr>
          <w:rFonts w:hint="eastAsia" w:ascii="仿宋_GB2312" w:hAnsi="仿宋_GB2312" w:eastAsia="仿宋_GB2312" w:cs="仿宋_GB2312"/>
          <w:color w:val="auto"/>
          <w:spacing w:val="0"/>
          <w:sz w:val="32"/>
          <w:szCs w:val="32"/>
          <w:lang w:val="en-US" w:eastAsia="zh-CN"/>
        </w:rPr>
        <w:instrText xml:space="preserve"> = 2 \* GB3 \* MERGEFORMAT </w:instrText>
      </w:r>
      <w:r>
        <w:rPr>
          <w:rFonts w:hint="eastAsia" w:ascii="仿宋_GB2312" w:hAnsi="仿宋_GB2312" w:eastAsia="仿宋_GB2312" w:cs="仿宋_GB2312"/>
          <w:color w:val="auto"/>
          <w:spacing w:val="0"/>
          <w:sz w:val="32"/>
          <w:szCs w:val="32"/>
          <w:lang w:val="en-US" w:eastAsia="zh-CN"/>
        </w:rPr>
        <w:fldChar w:fldCharType="separate"/>
      </w:r>
      <w:r>
        <w:rPr>
          <w:rFonts w:hint="eastAsia" w:ascii="仿宋_GB2312" w:hAnsi="仿宋_GB2312" w:eastAsia="仿宋_GB2312" w:cs="仿宋_GB2312"/>
          <w:color w:val="auto"/>
          <w:spacing w:val="0"/>
          <w:sz w:val="32"/>
          <w:szCs w:val="32"/>
          <w:lang w:val="en-US" w:eastAsia="zh-CN"/>
        </w:rPr>
        <w:t>②</w:t>
      </w:r>
      <w:r>
        <w:rPr>
          <w:rFonts w:hint="eastAsia" w:ascii="仿宋_GB2312" w:hAnsi="仿宋_GB2312" w:eastAsia="仿宋_GB2312" w:cs="仿宋_GB2312"/>
          <w:color w:val="auto"/>
          <w:spacing w:val="0"/>
          <w:sz w:val="32"/>
          <w:szCs w:val="32"/>
          <w:lang w:val="en-US" w:eastAsia="zh-CN"/>
        </w:rPr>
        <w:fldChar w:fldCharType="end"/>
      </w:r>
      <w:r>
        <w:rPr>
          <w:rFonts w:hint="eastAsia" w:ascii="仿宋_GB2312" w:hAnsi="仿宋_GB2312" w:eastAsia="仿宋_GB2312" w:cs="仿宋_GB2312"/>
          <w:bCs/>
          <w:color w:val="auto"/>
          <w:sz w:val="32"/>
          <w:szCs w:val="32"/>
          <w:lang w:val="en-US" w:eastAsia="zh-CN"/>
        </w:rPr>
        <w:t>切实抓好信访维稳工作，开展提升群众安全感和满意度工作，做好矛盾纠纷化解，维护社会治安稳定，建设平安茂林。</w:t>
      </w:r>
    </w:p>
    <w:p w14:paraId="657BDC43">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楷体_GB2312" w:hAnsi="楷体_GB2312" w:eastAsia="楷体_GB2312" w:cs="楷体_GB2312"/>
          <w:bCs/>
          <w:color w:val="auto"/>
          <w:sz w:val="32"/>
          <w:szCs w:val="32"/>
          <w:lang w:val="en-US" w:eastAsia="zh-CN"/>
        </w:rPr>
      </w:pPr>
      <w:r>
        <w:rPr>
          <w:rFonts w:hint="eastAsia" w:ascii="楷体_GB2312" w:hAnsi="楷体_GB2312" w:eastAsia="楷体_GB2312" w:cs="楷体_GB2312"/>
          <w:bCs/>
          <w:color w:val="auto"/>
          <w:sz w:val="32"/>
          <w:szCs w:val="32"/>
          <w:lang w:val="en-US" w:eastAsia="zh-CN"/>
        </w:rPr>
        <w:t>3.满意度指标</w:t>
      </w:r>
    </w:p>
    <w:p w14:paraId="284CA848">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default" w:ascii="仿宋_GB2312" w:hAnsi="仿宋_GB2312" w:eastAsia="仿宋_GB2312" w:cs="仿宋_GB2312"/>
          <w:bCs/>
          <w:color w:val="auto"/>
          <w:sz w:val="32"/>
          <w:szCs w:val="32"/>
          <w:lang w:val="en-US" w:eastAsia="zh-CN"/>
        </w:rPr>
      </w:pPr>
      <w:r>
        <w:rPr>
          <w:rFonts w:hint="default" w:ascii="仿宋_GB2312" w:hAnsi="仿宋_GB2312" w:eastAsia="仿宋_GB2312" w:cs="仿宋_GB2312"/>
          <w:bCs/>
          <w:color w:val="auto"/>
          <w:sz w:val="32"/>
          <w:szCs w:val="32"/>
          <w:lang w:val="en-US" w:eastAsia="zh-CN"/>
        </w:rPr>
        <w:t>满意度指标</w:t>
      </w:r>
      <w:r>
        <w:rPr>
          <w:rFonts w:hint="eastAsia" w:ascii="仿宋_GB2312" w:hAnsi="仿宋_GB2312" w:eastAsia="仿宋_GB2312" w:cs="仿宋_GB2312"/>
          <w:bCs/>
          <w:color w:val="auto"/>
          <w:sz w:val="32"/>
          <w:szCs w:val="32"/>
          <w:lang w:val="en-US" w:eastAsia="zh-CN"/>
        </w:rPr>
        <w:t>：群众满意度100%。</w:t>
      </w:r>
    </w:p>
    <w:p w14:paraId="1C2DBEED">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3" w:firstLineChars="200"/>
        <w:jc w:val="both"/>
        <w:textAlignment w:val="auto"/>
        <w:rPr>
          <w:rFonts w:hint="eastAsia" w:ascii="楷体_GB2312" w:hAnsi="楷体_GB2312" w:eastAsia="楷体_GB2312" w:cs="楷体_GB2312"/>
          <w:b/>
          <w:bCs/>
          <w:spacing w:val="0"/>
          <w:sz w:val="32"/>
          <w:szCs w:val="32"/>
          <w:lang w:val="en-US" w:eastAsia="zh-CN"/>
        </w:rPr>
      </w:pPr>
      <w:r>
        <w:rPr>
          <w:rFonts w:hint="eastAsia" w:ascii="楷体_GB2312" w:hAnsi="楷体_GB2312" w:eastAsia="楷体_GB2312" w:cs="楷体_GB2312"/>
          <w:b/>
          <w:bCs/>
          <w:spacing w:val="0"/>
          <w:sz w:val="32"/>
          <w:szCs w:val="32"/>
          <w:lang w:val="en-US" w:eastAsia="zh-CN"/>
        </w:rPr>
        <w:t>（二）项目支出绩效自评结果</w:t>
      </w:r>
    </w:p>
    <w:p w14:paraId="48452718">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both"/>
        <w:textAlignment w:val="auto"/>
        <w:rPr>
          <w:rFonts w:hint="eastAsia" w:eastAsia="仿宋_GB2312" w:cs="Times New Roman"/>
          <w:color w:val="000000"/>
          <w:kern w:val="2"/>
          <w:sz w:val="32"/>
          <w:szCs w:val="32"/>
          <w:lang w:val="en-US" w:eastAsia="zh-CN" w:bidi="ar-SA"/>
        </w:rPr>
      </w:pPr>
      <w:r>
        <w:rPr>
          <w:rFonts w:hint="eastAsia" w:ascii="仿宋_GB2312" w:hAnsi="仿宋_GB2312" w:eastAsia="仿宋_GB2312" w:cs="仿宋_GB2312"/>
          <w:color w:val="auto"/>
          <w:spacing w:val="0"/>
          <w:sz w:val="32"/>
          <w:szCs w:val="32"/>
          <w:lang w:val="en-US" w:eastAsia="zh-CN"/>
        </w:rPr>
        <w:t>2023年茂林镇预算绩效</w:t>
      </w:r>
      <w:r>
        <w:rPr>
          <w:rFonts w:hint="eastAsia" w:ascii="Times New Roman" w:hAnsi="Times New Roman" w:eastAsia="仿宋_GB2312" w:cs="Times New Roman"/>
          <w:color w:val="000000"/>
          <w:kern w:val="2"/>
          <w:sz w:val="32"/>
          <w:szCs w:val="32"/>
          <w:lang w:val="en-US" w:eastAsia="zh-CN" w:bidi="ar-SA"/>
        </w:rPr>
        <w:t>项目</w:t>
      </w:r>
      <w:r>
        <w:rPr>
          <w:rFonts w:hint="eastAsia" w:eastAsia="仿宋_GB2312" w:cs="Times New Roman"/>
          <w:color w:val="000000"/>
          <w:kern w:val="2"/>
          <w:sz w:val="32"/>
          <w:szCs w:val="32"/>
          <w:lang w:val="en-US" w:eastAsia="zh-CN" w:bidi="ar-SA"/>
        </w:rPr>
        <w:t>共134个，</w:t>
      </w:r>
      <w:r>
        <w:rPr>
          <w:rFonts w:hint="eastAsia" w:ascii="Times New Roman" w:hAnsi="Times New Roman" w:eastAsia="仿宋_GB2312" w:cs="Times New Roman"/>
          <w:color w:val="000000"/>
          <w:kern w:val="2"/>
          <w:sz w:val="32"/>
          <w:szCs w:val="32"/>
          <w:lang w:val="en-US" w:eastAsia="zh-CN" w:bidi="ar-SA"/>
        </w:rPr>
        <w:t>自评</w:t>
      </w:r>
      <w:r>
        <w:rPr>
          <w:rFonts w:hint="eastAsia" w:eastAsia="仿宋_GB2312" w:cs="Times New Roman"/>
          <w:color w:val="000000"/>
          <w:kern w:val="2"/>
          <w:sz w:val="32"/>
          <w:szCs w:val="32"/>
          <w:lang w:val="en-US" w:eastAsia="zh-CN" w:bidi="ar-SA"/>
        </w:rPr>
        <w:t>得分平均分95.00分，其中：一等项目120个，二等项目12个，三等项目2个，无四等项目。三等项目分别为：人大代表联络站建设经费项目、收回2022年专项转移支付资金安排项目。</w:t>
      </w:r>
    </w:p>
    <w:p w14:paraId="7BAC7609">
      <w:pPr>
        <w:pStyle w:val="2"/>
        <w:ind w:firstLine="640" w:firstLineChars="200"/>
        <w:jc w:val="both"/>
        <w:rPr>
          <w:rFonts w:hint="eastAsia" w:eastAsia="仿宋_GB2312" w:cs="Times New Roman"/>
          <w:color w:val="000000"/>
          <w:kern w:val="2"/>
          <w:sz w:val="32"/>
          <w:szCs w:val="32"/>
          <w:lang w:val="en-US" w:eastAsia="zh-CN" w:bidi="ar-SA"/>
        </w:rPr>
      </w:pPr>
      <w:r>
        <w:rPr>
          <w:rFonts w:hint="eastAsia" w:eastAsia="仿宋_GB2312" w:cs="Times New Roman"/>
          <w:color w:val="000000"/>
          <w:kern w:val="2"/>
          <w:sz w:val="32"/>
          <w:szCs w:val="32"/>
          <w:lang w:val="en-US" w:eastAsia="zh-CN" w:bidi="ar-SA"/>
        </w:rPr>
        <w:t>三等项目分析：</w:t>
      </w:r>
    </w:p>
    <w:p w14:paraId="395E2A9C">
      <w:pPr>
        <w:pStyle w:val="2"/>
        <w:ind w:firstLine="640" w:firstLineChars="200"/>
        <w:jc w:val="both"/>
        <w:rPr>
          <w:rFonts w:hint="eastAsia" w:eastAsia="仿宋_GB2312" w:cs="Times New Roman"/>
          <w:color w:val="000000"/>
          <w:kern w:val="2"/>
          <w:sz w:val="32"/>
          <w:szCs w:val="32"/>
          <w:lang w:val="en-US" w:eastAsia="zh-CN" w:bidi="ar-SA"/>
        </w:rPr>
      </w:pPr>
      <w:r>
        <w:rPr>
          <w:rFonts w:hint="eastAsia" w:eastAsia="仿宋_GB2312" w:cs="Times New Roman"/>
          <w:color w:val="000000"/>
          <w:kern w:val="2"/>
          <w:sz w:val="32"/>
          <w:szCs w:val="32"/>
          <w:lang w:val="en-US" w:eastAsia="zh-CN" w:bidi="ar-SA"/>
        </w:rPr>
        <w:t>1.人大代表联络站建设经费项目当年预算数70155.20元，全年执行数0元，预算执行率0%，自评得分70分。该项目未支出的原因我镇人大代表联络站已于2022年全面更新，2023年没有更新和新建的需求，年初申请此项目的初衷是申请资金以备上级有新要求。下一步我们将加强预算资金申报管理，增强资金绩效理念，强化资金管理水平，提高资金使用效益。</w:t>
      </w:r>
    </w:p>
    <w:p w14:paraId="6A371461">
      <w:pPr>
        <w:pStyle w:val="2"/>
        <w:ind w:firstLine="640" w:firstLineChars="200"/>
        <w:jc w:val="both"/>
        <w:rPr>
          <w:rFonts w:hint="default" w:eastAsia="仿宋_GB2312" w:cs="Times New Roman"/>
          <w:color w:val="000000"/>
          <w:kern w:val="2"/>
          <w:sz w:val="32"/>
          <w:szCs w:val="32"/>
          <w:lang w:val="en-US" w:eastAsia="zh-CN" w:bidi="ar-SA"/>
        </w:rPr>
      </w:pPr>
      <w:r>
        <w:rPr>
          <w:rFonts w:hint="eastAsia" w:eastAsia="仿宋_GB2312" w:cs="Times New Roman"/>
          <w:color w:val="000000"/>
          <w:kern w:val="2"/>
          <w:sz w:val="32"/>
          <w:szCs w:val="32"/>
          <w:lang w:val="en-US" w:eastAsia="zh-CN" w:bidi="ar-SA"/>
        </w:rPr>
        <w:t>2.收回2022年专项转移支付资金安排项目当年预算数500,888.00元，全年执行数7517.00元，预算执行率1.5%，自评得分60.53分。由于财政资金紧张，</w:t>
      </w:r>
      <w:r>
        <w:rPr>
          <w:rFonts w:hint="eastAsia" w:ascii="仿宋_GB2312" w:hAnsi="仿宋_GB2312" w:eastAsia="仿宋_GB2312" w:cs="仿宋_GB2312"/>
          <w:sz w:val="32"/>
          <w:szCs w:val="32"/>
          <w:lang w:val="en-US" w:eastAsia="zh-CN"/>
        </w:rPr>
        <w:t>2023年我镇未实施农村公益事业财政奖补项目，支出的</w:t>
      </w:r>
      <w:r>
        <w:rPr>
          <w:rFonts w:hint="eastAsia" w:eastAsia="仿宋_GB2312" w:cs="Times New Roman"/>
          <w:color w:val="000000"/>
          <w:kern w:val="2"/>
          <w:sz w:val="32"/>
          <w:szCs w:val="32"/>
          <w:lang w:val="en-US" w:eastAsia="zh-CN" w:bidi="ar-SA"/>
        </w:rPr>
        <w:t>7517.00元为2022年农村公益事业财政奖补项目费用，2022年一事一议项目费用仍未完全支付。</w:t>
      </w:r>
    </w:p>
    <w:p w14:paraId="37A34F2E">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黑体" w:hAnsi="黑体" w:eastAsia="黑体" w:cs="黑体"/>
          <w:b w:val="0"/>
          <w:bCs w:val="0"/>
          <w:color w:val="FF0000"/>
          <w:spacing w:val="6"/>
          <w:sz w:val="32"/>
          <w:szCs w:val="32"/>
          <w:lang w:val="en-US" w:eastAsia="zh-CN"/>
        </w:rPr>
      </w:pPr>
      <w:r>
        <w:rPr>
          <w:rFonts w:hint="eastAsia" w:ascii="Times New Roman" w:hAnsi="Times New Roman" w:eastAsia="黑体" w:cs="Times New Roman"/>
          <w:color w:val="000000"/>
          <w:sz w:val="32"/>
          <w:szCs w:val="32"/>
          <w:lang w:eastAsia="zh-CN"/>
        </w:rPr>
        <w:t>四、自评发现的问题和改进措施</w:t>
      </w:r>
    </w:p>
    <w:p w14:paraId="4E749BE1">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3" w:firstLineChars="200"/>
        <w:jc w:val="both"/>
        <w:textAlignment w:val="auto"/>
        <w:rPr>
          <w:rFonts w:hint="eastAsia" w:ascii="楷体_GB2312" w:hAnsi="楷体_GB2312" w:eastAsia="楷体_GB2312" w:cs="楷体_GB2312"/>
          <w:b/>
          <w:bCs/>
          <w:spacing w:val="0"/>
          <w:sz w:val="32"/>
          <w:szCs w:val="32"/>
          <w:lang w:val="en-US" w:eastAsia="zh-CN"/>
        </w:rPr>
      </w:pPr>
      <w:r>
        <w:rPr>
          <w:rFonts w:hint="eastAsia" w:ascii="楷体_GB2312" w:hAnsi="楷体_GB2312" w:eastAsia="楷体_GB2312" w:cs="楷体_GB2312"/>
          <w:b/>
          <w:bCs/>
          <w:spacing w:val="0"/>
          <w:sz w:val="32"/>
          <w:szCs w:val="32"/>
          <w:lang w:val="en-US" w:eastAsia="zh-CN"/>
        </w:rPr>
        <w:t>（一）存在问题</w:t>
      </w:r>
    </w:p>
    <w:p w14:paraId="7025C465">
      <w:pPr>
        <w:keepNext w:val="0"/>
        <w:keepLines w:val="0"/>
        <w:pageBreakBefore w:val="0"/>
        <w:widowControl w:val="0"/>
        <w:kinsoku/>
        <w:wordWrap/>
        <w:overflowPunct/>
        <w:topLinePunct w:val="0"/>
        <w:autoSpaceDE w:val="0"/>
        <w:autoSpaceDN w:val="0"/>
        <w:bidi w:val="0"/>
        <w:adjustRightInd w:val="0"/>
        <w:snapToGrid w:val="0"/>
        <w:spacing w:line="579" w:lineRule="exact"/>
        <w:ind w:firstLine="664" w:firstLineChars="200"/>
        <w:jc w:val="left"/>
        <w:textAlignment w:val="auto"/>
        <w:rPr>
          <w:rFonts w:hint="eastAsia" w:ascii="仿宋_GB2312" w:hAnsi="黑体" w:eastAsia="仿宋_GB2312"/>
          <w:b w:val="0"/>
          <w:bCs w:val="0"/>
          <w:color w:val="auto"/>
          <w:spacing w:val="6"/>
          <w:sz w:val="32"/>
          <w:szCs w:val="32"/>
          <w:lang w:val="en-US" w:eastAsia="zh-CN"/>
        </w:rPr>
      </w:pPr>
      <w:r>
        <w:rPr>
          <w:rFonts w:hint="eastAsia" w:ascii="仿宋_GB2312" w:hAnsi="黑体" w:eastAsia="仿宋_GB2312"/>
          <w:b w:val="0"/>
          <w:bCs w:val="0"/>
          <w:color w:val="auto"/>
          <w:spacing w:val="6"/>
          <w:sz w:val="32"/>
          <w:szCs w:val="32"/>
          <w:lang w:val="en-US" w:eastAsia="zh-CN"/>
        </w:rPr>
        <w:t>1.由于财政紧张，一些项目预算缩减或被砍，导致部分工作没有足够的资金支撑，难以顺利开展，资金拨付存在困难。</w:t>
      </w:r>
    </w:p>
    <w:p w14:paraId="075F113C">
      <w:pPr>
        <w:keepNext w:val="0"/>
        <w:keepLines w:val="0"/>
        <w:pageBreakBefore w:val="0"/>
        <w:widowControl w:val="0"/>
        <w:kinsoku/>
        <w:wordWrap/>
        <w:overflowPunct/>
        <w:topLinePunct w:val="0"/>
        <w:autoSpaceDE w:val="0"/>
        <w:autoSpaceDN w:val="0"/>
        <w:bidi w:val="0"/>
        <w:adjustRightInd w:val="0"/>
        <w:snapToGrid w:val="0"/>
        <w:spacing w:line="579" w:lineRule="exact"/>
        <w:ind w:firstLine="664" w:firstLineChars="200"/>
        <w:jc w:val="left"/>
        <w:textAlignment w:val="auto"/>
        <w:rPr>
          <w:rFonts w:hint="eastAsia" w:ascii="仿宋_GB2312" w:hAnsi="黑体" w:eastAsia="仿宋_GB2312"/>
          <w:b w:val="0"/>
          <w:bCs w:val="0"/>
          <w:color w:val="auto"/>
          <w:spacing w:val="6"/>
          <w:sz w:val="32"/>
          <w:szCs w:val="32"/>
          <w:lang w:val="en-US" w:eastAsia="zh-CN"/>
        </w:rPr>
      </w:pPr>
      <w:r>
        <w:rPr>
          <w:rFonts w:hint="eastAsia" w:ascii="仿宋_GB2312" w:hAnsi="黑体" w:eastAsia="仿宋_GB2312"/>
          <w:b w:val="0"/>
          <w:bCs w:val="0"/>
          <w:color w:val="auto"/>
          <w:spacing w:val="6"/>
          <w:sz w:val="32"/>
          <w:szCs w:val="32"/>
          <w:lang w:val="en-US" w:eastAsia="zh-CN"/>
        </w:rPr>
        <w:t>2.在年初预算编制时个别项目预算规划考虑不全，导致本年度使用资金不足，不利于推进项目建设，达成年度目标。</w:t>
      </w:r>
    </w:p>
    <w:p w14:paraId="550915A2">
      <w:pPr>
        <w:keepNext w:val="0"/>
        <w:keepLines w:val="0"/>
        <w:pageBreakBefore w:val="0"/>
        <w:widowControl w:val="0"/>
        <w:kinsoku/>
        <w:wordWrap/>
        <w:overflowPunct/>
        <w:topLinePunct w:val="0"/>
        <w:autoSpaceDE w:val="0"/>
        <w:autoSpaceDN w:val="0"/>
        <w:bidi w:val="0"/>
        <w:adjustRightInd w:val="0"/>
        <w:snapToGrid w:val="0"/>
        <w:spacing w:line="579" w:lineRule="exact"/>
        <w:ind w:firstLine="664" w:firstLineChars="200"/>
        <w:jc w:val="left"/>
        <w:textAlignment w:val="auto"/>
        <w:rPr>
          <w:rFonts w:hint="eastAsia" w:ascii="黑体" w:hAnsi="黑体" w:eastAsia="黑体"/>
          <w:bCs/>
          <w:color w:val="auto"/>
          <w:sz w:val="32"/>
          <w:szCs w:val="32"/>
        </w:rPr>
      </w:pPr>
      <w:r>
        <w:rPr>
          <w:rFonts w:hint="eastAsia" w:ascii="仿宋_GB2312" w:hAnsi="黑体" w:eastAsia="仿宋_GB2312"/>
          <w:b w:val="0"/>
          <w:bCs w:val="0"/>
          <w:color w:val="auto"/>
          <w:spacing w:val="6"/>
          <w:sz w:val="32"/>
          <w:szCs w:val="32"/>
          <w:lang w:val="en-US" w:eastAsia="zh-CN"/>
        </w:rPr>
        <w:t>3.存在部分资金使用进度缓慢，资金使用率不高等问题。</w:t>
      </w:r>
    </w:p>
    <w:p w14:paraId="6B5FC406">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3" w:firstLineChars="200"/>
        <w:jc w:val="both"/>
        <w:textAlignment w:val="auto"/>
        <w:rPr>
          <w:rFonts w:hint="eastAsia" w:ascii="楷体_GB2312" w:hAnsi="楷体_GB2312" w:eastAsia="楷体_GB2312" w:cs="楷体_GB2312"/>
          <w:b/>
          <w:bCs/>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（二）改进措施</w:t>
      </w:r>
    </w:p>
    <w:p w14:paraId="40674DB5">
      <w:pPr>
        <w:keepNext w:val="0"/>
        <w:keepLines w:val="0"/>
        <w:pageBreakBefore w:val="0"/>
        <w:widowControl w:val="0"/>
        <w:kinsoku/>
        <w:wordWrap/>
        <w:overflowPunct/>
        <w:topLinePunct w:val="0"/>
        <w:autoSpaceDE w:val="0"/>
        <w:autoSpaceDN w:val="0"/>
        <w:bidi w:val="0"/>
        <w:adjustRightInd w:val="0"/>
        <w:snapToGrid w:val="0"/>
        <w:spacing w:line="579" w:lineRule="exact"/>
        <w:ind w:firstLine="664" w:firstLineChars="200"/>
        <w:jc w:val="left"/>
        <w:textAlignment w:val="auto"/>
        <w:rPr>
          <w:rFonts w:hint="eastAsia" w:ascii="仿宋_GB2312" w:hAnsi="黑体" w:eastAsia="仿宋_GB2312" w:cs="Times New Roman"/>
          <w:b w:val="0"/>
          <w:bCs w:val="0"/>
          <w:color w:val="auto"/>
          <w:spacing w:val="6"/>
          <w:sz w:val="32"/>
          <w:szCs w:val="32"/>
          <w:lang w:val="en-US" w:eastAsia="zh-CN"/>
        </w:rPr>
      </w:pPr>
      <w:r>
        <w:rPr>
          <w:rFonts w:hint="eastAsia" w:ascii="仿宋_GB2312" w:hAnsi="黑体" w:eastAsia="仿宋_GB2312" w:cs="Times New Roman"/>
          <w:b w:val="0"/>
          <w:bCs w:val="0"/>
          <w:color w:val="auto"/>
          <w:spacing w:val="6"/>
          <w:sz w:val="32"/>
          <w:szCs w:val="32"/>
          <w:lang w:val="en-US" w:eastAsia="zh-CN"/>
        </w:rPr>
        <w:t>1.提前做好项目预算规划，全面考虑资金用途及内容，做足年初预算编制，保证项目资金充足，确保项目顺利展开；</w:t>
      </w:r>
    </w:p>
    <w:p w14:paraId="03EE78D9">
      <w:pPr>
        <w:keepNext w:val="0"/>
        <w:keepLines w:val="0"/>
        <w:pageBreakBefore w:val="0"/>
        <w:widowControl w:val="0"/>
        <w:kinsoku/>
        <w:wordWrap/>
        <w:overflowPunct/>
        <w:topLinePunct w:val="0"/>
        <w:autoSpaceDE w:val="0"/>
        <w:autoSpaceDN w:val="0"/>
        <w:bidi w:val="0"/>
        <w:adjustRightInd w:val="0"/>
        <w:snapToGrid w:val="0"/>
        <w:spacing w:line="579" w:lineRule="exact"/>
        <w:ind w:firstLine="664" w:firstLineChars="200"/>
        <w:jc w:val="left"/>
        <w:textAlignment w:val="auto"/>
        <w:rPr>
          <w:rFonts w:hint="eastAsia" w:ascii="仿宋_GB2312" w:hAnsi="黑体" w:eastAsia="仿宋_GB2312" w:cs="Times New Roman"/>
          <w:b w:val="0"/>
          <w:bCs w:val="0"/>
          <w:color w:val="auto"/>
          <w:spacing w:val="6"/>
          <w:sz w:val="32"/>
          <w:szCs w:val="32"/>
          <w:lang w:val="en-US" w:eastAsia="zh-CN"/>
        </w:rPr>
      </w:pPr>
      <w:r>
        <w:rPr>
          <w:rFonts w:hint="eastAsia" w:ascii="仿宋_GB2312" w:hAnsi="黑体" w:eastAsia="仿宋_GB2312" w:cs="Times New Roman"/>
          <w:b w:val="0"/>
          <w:bCs w:val="0"/>
          <w:color w:val="auto"/>
          <w:spacing w:val="6"/>
          <w:sz w:val="32"/>
          <w:szCs w:val="32"/>
          <w:lang w:val="en-US" w:eastAsia="zh-CN"/>
        </w:rPr>
        <w:t>2.合理安排支出结构，提高资金使用效率，加快资金拨付进度，提高项目工作效率，确保项目按照计划进度推进；</w:t>
      </w:r>
    </w:p>
    <w:p w14:paraId="2FA4098A">
      <w:pPr>
        <w:keepNext w:val="0"/>
        <w:keepLines w:val="0"/>
        <w:pageBreakBefore w:val="0"/>
        <w:kinsoku/>
        <w:wordWrap/>
        <w:overflowPunct/>
        <w:topLinePunct w:val="0"/>
        <w:autoSpaceDE/>
        <w:autoSpaceDN/>
        <w:bidi w:val="0"/>
        <w:adjustRightInd/>
        <w:snapToGrid/>
        <w:ind w:firstLine="664" w:firstLineChars="200"/>
        <w:textAlignment w:val="auto"/>
        <w:rPr>
          <w:rFonts w:hint="eastAsia" w:ascii="仿宋_GB2312" w:hAnsi="黑体" w:eastAsia="仿宋_GB2312" w:cs="Times New Roman"/>
          <w:b w:val="0"/>
          <w:bCs w:val="0"/>
          <w:color w:val="auto"/>
          <w:spacing w:val="6"/>
          <w:sz w:val="32"/>
          <w:szCs w:val="32"/>
          <w:lang w:val="en-US" w:eastAsia="zh-CN"/>
        </w:rPr>
      </w:pPr>
      <w:r>
        <w:rPr>
          <w:rFonts w:hint="eastAsia" w:ascii="仿宋_GB2312" w:hAnsi="黑体" w:eastAsia="仿宋_GB2312" w:cs="Times New Roman"/>
          <w:b w:val="0"/>
          <w:bCs w:val="0"/>
          <w:color w:val="auto"/>
          <w:spacing w:val="6"/>
          <w:sz w:val="32"/>
          <w:szCs w:val="32"/>
          <w:lang w:val="en-US" w:eastAsia="zh-CN"/>
        </w:rPr>
        <w:t>3.加强预算执行管理，严格按批复的预算、费用支出范围标准和定额安排支出。</w:t>
      </w:r>
    </w:p>
    <w:p w14:paraId="74A60D64">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r>
        <w:rPr>
          <w:rFonts w:hint="eastAsia" w:ascii="Times New Roman" w:hAnsi="Times New Roman" w:eastAsia="黑体" w:cs="Times New Roman"/>
          <w:color w:val="000000"/>
          <w:sz w:val="32"/>
          <w:szCs w:val="32"/>
          <w:lang w:eastAsia="zh-CN"/>
        </w:rPr>
        <w:t>五、自评工作建议</w:t>
      </w:r>
    </w:p>
    <w:p w14:paraId="0384DEBC">
      <w:pPr>
        <w:keepNext w:val="0"/>
        <w:keepLines w:val="0"/>
        <w:pageBreakBefore w:val="0"/>
        <w:kinsoku/>
        <w:wordWrap/>
        <w:overflowPunct/>
        <w:topLinePunct w:val="0"/>
        <w:autoSpaceDE/>
        <w:autoSpaceDN/>
        <w:bidi w:val="0"/>
        <w:adjustRightInd/>
        <w:snapToGrid/>
        <w:ind w:firstLine="664" w:firstLineChars="200"/>
        <w:textAlignment w:val="auto"/>
        <w:rPr>
          <w:rFonts w:hint="eastAsia" w:ascii="仿宋_GB2312" w:hAnsi="黑体" w:eastAsia="仿宋_GB2312" w:cs="Times New Roman"/>
          <w:b w:val="0"/>
          <w:bCs w:val="0"/>
          <w:color w:val="auto"/>
          <w:spacing w:val="6"/>
          <w:sz w:val="32"/>
          <w:szCs w:val="32"/>
          <w:lang w:val="en-US" w:eastAsia="zh-CN"/>
        </w:rPr>
      </w:pPr>
      <w:r>
        <w:rPr>
          <w:rFonts w:hint="eastAsia" w:ascii="仿宋_GB2312" w:hAnsi="黑体" w:eastAsia="仿宋_GB2312" w:cs="Times New Roman"/>
          <w:b w:val="0"/>
          <w:bCs w:val="0"/>
          <w:color w:val="auto"/>
          <w:spacing w:val="6"/>
          <w:sz w:val="32"/>
          <w:szCs w:val="32"/>
          <w:lang w:val="en-US" w:eastAsia="zh-CN"/>
        </w:rPr>
        <w:t>加强对绩效自评单位的培训，特别是针对</w:t>
      </w:r>
      <w:r>
        <w:rPr>
          <w:rFonts w:ascii="仿宋_GB2312" w:hAnsi="宋体" w:eastAsia="仿宋_GB2312" w:cs="仿宋_GB2312"/>
          <w:i w:val="0"/>
          <w:iCs w:val="0"/>
          <w:caps w:val="0"/>
          <w:color w:val="000000"/>
          <w:spacing w:val="0"/>
          <w:sz w:val="31"/>
          <w:szCs w:val="31"/>
        </w:rPr>
        <w:t>《中华人民共和国预算法》</w:t>
      </w:r>
      <w:r>
        <w:rPr>
          <w:rFonts w:hint="eastAsia" w:ascii="仿宋_GB2312" w:hAnsi="黑体" w:eastAsia="仿宋_GB2312" w:cs="Times New Roman"/>
          <w:b w:val="0"/>
          <w:bCs w:val="0"/>
          <w:color w:val="auto"/>
          <w:spacing w:val="6"/>
          <w:sz w:val="32"/>
          <w:szCs w:val="32"/>
          <w:lang w:val="en-US" w:eastAsia="zh-CN"/>
        </w:rPr>
        <w:t>《政府会计制度》等学习培训，规范部门预算收支核算，切实提高部门预算收支管理水平。</w:t>
      </w:r>
    </w:p>
    <w:p w14:paraId="6189D6A1">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r>
        <w:rPr>
          <w:rFonts w:hint="eastAsia" w:ascii="Times New Roman" w:hAnsi="Times New Roman" w:eastAsia="黑体" w:cs="Times New Roman"/>
          <w:color w:val="000000"/>
          <w:sz w:val="32"/>
          <w:szCs w:val="32"/>
          <w:lang w:eastAsia="zh-CN"/>
        </w:rPr>
        <w:t>六、绩效自评结果</w:t>
      </w:r>
      <w:r>
        <w:rPr>
          <w:rFonts w:hint="eastAsia" w:ascii="Times New Roman" w:hAnsi="Times New Roman" w:eastAsia="黑体" w:cs="Times New Roman"/>
          <w:color w:val="000000"/>
          <w:sz w:val="32"/>
          <w:szCs w:val="32"/>
          <w:lang w:val="en-US" w:eastAsia="zh-CN"/>
        </w:rPr>
        <w:t>拟</w:t>
      </w:r>
      <w:r>
        <w:rPr>
          <w:rFonts w:hint="eastAsia" w:ascii="Times New Roman" w:hAnsi="Times New Roman" w:eastAsia="黑体" w:cs="Times New Roman"/>
          <w:color w:val="000000"/>
          <w:sz w:val="32"/>
          <w:szCs w:val="32"/>
          <w:lang w:eastAsia="zh-CN"/>
        </w:rPr>
        <w:t>应用和公开情况</w:t>
      </w:r>
    </w:p>
    <w:p w14:paraId="65AB5E52">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3" w:firstLineChars="200"/>
        <w:jc w:val="both"/>
        <w:textAlignment w:val="auto"/>
        <w:rPr>
          <w:rFonts w:hint="eastAsia" w:ascii="楷体_GB2312" w:hAnsi="楷体_GB2312" w:eastAsia="楷体_GB2312" w:cs="楷体_GB2312"/>
          <w:b/>
          <w:bCs/>
          <w:spacing w:val="0"/>
          <w:sz w:val="32"/>
          <w:szCs w:val="32"/>
          <w:lang w:val="en-US" w:eastAsia="zh-CN"/>
        </w:rPr>
      </w:pPr>
      <w:r>
        <w:rPr>
          <w:rFonts w:hint="eastAsia" w:ascii="楷体_GB2312" w:hAnsi="楷体_GB2312" w:eastAsia="楷体_GB2312" w:cs="楷体_GB2312"/>
          <w:b/>
          <w:bCs/>
          <w:spacing w:val="0"/>
          <w:sz w:val="32"/>
          <w:szCs w:val="32"/>
          <w:lang w:val="en-US" w:eastAsia="zh-CN"/>
        </w:rPr>
        <w:t>（一）自评结果拟应用情况。</w:t>
      </w:r>
    </w:p>
    <w:p w14:paraId="67AE4B18">
      <w:pPr>
        <w:keepNext w:val="0"/>
        <w:keepLines w:val="0"/>
        <w:pageBreakBefore w:val="0"/>
        <w:widowControl w:val="0"/>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rPr>
        <w:t>一是通过绩效自评结果，对指标完成好的工作在下一年度继续巩固和加强，对未完成的指标深入剖析原因，找出症结，在以后工作中完善和改进</w:t>
      </w:r>
      <w:r>
        <w:rPr>
          <w:rFonts w:hint="eastAsia"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二是将此次绩效评价结果作为以后年度资金</w:t>
      </w:r>
      <w:r>
        <w:rPr>
          <w:rFonts w:hint="eastAsia" w:eastAsia="仿宋_GB2312" w:cs="Times New Roman"/>
          <w:color w:val="000000"/>
          <w:sz w:val="32"/>
          <w:szCs w:val="32"/>
          <w:lang w:eastAsia="zh-CN"/>
        </w:rPr>
        <w:t>预算</w:t>
      </w:r>
      <w:r>
        <w:rPr>
          <w:rFonts w:hint="eastAsia" w:ascii="Times New Roman" w:hAnsi="Times New Roman" w:eastAsia="仿宋_GB2312" w:cs="Times New Roman"/>
          <w:color w:val="000000"/>
          <w:sz w:val="32"/>
          <w:szCs w:val="32"/>
        </w:rPr>
        <w:t>分配的重要依据，促进</w:t>
      </w:r>
      <w:r>
        <w:rPr>
          <w:rFonts w:hint="eastAsia" w:eastAsia="仿宋_GB2312" w:cs="Times New Roman"/>
          <w:color w:val="000000"/>
          <w:sz w:val="32"/>
          <w:szCs w:val="32"/>
          <w:lang w:eastAsia="zh-CN"/>
        </w:rPr>
        <w:t>镇各部门</w:t>
      </w:r>
      <w:r>
        <w:rPr>
          <w:rFonts w:hint="eastAsia" w:ascii="Times New Roman" w:hAnsi="Times New Roman" w:eastAsia="仿宋_GB2312" w:cs="Times New Roman"/>
          <w:color w:val="000000"/>
          <w:sz w:val="32"/>
          <w:szCs w:val="32"/>
        </w:rPr>
        <w:t>增强责任</w:t>
      </w:r>
      <w:r>
        <w:rPr>
          <w:rFonts w:hint="eastAsia" w:eastAsia="仿宋_GB2312" w:cs="Times New Roman"/>
          <w:color w:val="000000"/>
          <w:sz w:val="32"/>
          <w:szCs w:val="32"/>
          <w:lang w:eastAsia="zh-CN"/>
        </w:rPr>
        <w:t>观念。</w:t>
      </w:r>
    </w:p>
    <w:p w14:paraId="7C3E826F">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3" w:firstLineChars="200"/>
        <w:jc w:val="both"/>
        <w:textAlignment w:val="auto"/>
        <w:rPr>
          <w:rFonts w:hint="eastAsia" w:ascii="楷体_GB2312" w:hAnsi="楷体_GB2312" w:eastAsia="楷体_GB2312" w:cs="楷体_GB2312"/>
          <w:b/>
          <w:bCs/>
          <w:spacing w:val="0"/>
          <w:sz w:val="32"/>
          <w:szCs w:val="32"/>
          <w:lang w:val="en-US" w:eastAsia="zh-CN"/>
        </w:rPr>
      </w:pPr>
      <w:r>
        <w:rPr>
          <w:rFonts w:hint="eastAsia" w:ascii="楷体_GB2312" w:hAnsi="楷体_GB2312" w:eastAsia="楷体_GB2312" w:cs="楷体_GB2312"/>
          <w:b/>
          <w:bCs/>
          <w:spacing w:val="0"/>
          <w:sz w:val="32"/>
          <w:szCs w:val="32"/>
          <w:lang w:val="en-US" w:eastAsia="zh-CN"/>
        </w:rPr>
        <w:t>（二）自评结果拟公开情况。</w:t>
      </w:r>
    </w:p>
    <w:p w14:paraId="01CFA0D6">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为深入贯彻落实《玉林市玉东新区财政局关于开展2023年度玉东新区预算绩效自评工作的通知》（玉东财预〔2024〕25号）文件精神，进一步深化</w:t>
      </w:r>
      <w:r>
        <w:rPr>
          <w:rFonts w:hint="eastAsia" w:eastAsia="仿宋_GB2312" w:cs="Times New Roman"/>
          <w:color w:val="000000"/>
          <w:sz w:val="32"/>
          <w:szCs w:val="32"/>
          <w:lang w:val="en-US" w:eastAsia="zh-CN"/>
        </w:rPr>
        <w:t>预算</w:t>
      </w:r>
      <w:r>
        <w:rPr>
          <w:rFonts w:hint="eastAsia" w:ascii="Times New Roman" w:hAnsi="Times New Roman" w:eastAsia="仿宋_GB2312" w:cs="Times New Roman"/>
          <w:color w:val="000000"/>
          <w:sz w:val="32"/>
          <w:szCs w:val="32"/>
          <w:lang w:val="en-US" w:eastAsia="zh-CN"/>
        </w:rPr>
        <w:t>绩效</w:t>
      </w:r>
      <w:r>
        <w:rPr>
          <w:rFonts w:hint="eastAsia" w:eastAsia="仿宋_GB2312" w:cs="Times New Roman"/>
          <w:color w:val="000000"/>
          <w:sz w:val="32"/>
          <w:szCs w:val="32"/>
          <w:lang w:val="en-US" w:eastAsia="zh-CN"/>
        </w:rPr>
        <w:t>自评</w:t>
      </w:r>
      <w:r>
        <w:rPr>
          <w:rFonts w:hint="eastAsia" w:ascii="Times New Roman" w:hAnsi="Times New Roman" w:eastAsia="仿宋_GB2312" w:cs="Times New Roman"/>
          <w:color w:val="000000"/>
          <w:sz w:val="32"/>
          <w:szCs w:val="32"/>
          <w:lang w:val="en-US" w:eastAsia="zh-CN"/>
        </w:rPr>
        <w:t>工作，不断提高部门预算整体绩效目标管理水平，我镇将在请求玉东新区政务服务中心代我镇在玉东新区管理委员会网站上公开发布2023年预算绩效自评结果</w:t>
      </w:r>
      <w:r>
        <w:rPr>
          <w:rFonts w:hint="eastAsia"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随同2023年部门决算同步公开</w:t>
      </w:r>
      <w:r>
        <w:rPr>
          <w:rFonts w:hint="eastAsia"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具体公开要求以区财政局每年布置的决算公开要求为准，自觉接受监督。</w:t>
      </w:r>
    </w:p>
    <w:p w14:paraId="0790DF95">
      <w:pPr>
        <w:pStyle w:val="6"/>
        <w:keepNext w:val="0"/>
        <w:keepLines w:val="0"/>
        <w:pageBreakBefore w:val="0"/>
        <w:widowControl w:val="0"/>
        <w:kinsoku/>
        <w:wordWrap/>
        <w:overflowPunct/>
        <w:topLinePunct w:val="0"/>
        <w:autoSpaceDE/>
        <w:autoSpaceDN/>
        <w:bidi w:val="0"/>
        <w:adjustRightInd/>
        <w:snapToGrid/>
        <w:spacing w:beforeLines="0" w:after="0" w:afterLines="0" w:line="560" w:lineRule="exact"/>
        <w:ind w:left="0" w:leftChars="0" w:firstLine="640" w:firstLineChars="200"/>
        <w:jc w:val="left"/>
        <w:textAlignment w:val="auto"/>
        <w:rPr>
          <w:rFonts w:hint="eastAsia" w:ascii="Times New Roman" w:hAnsi="Times New Roman" w:eastAsia="仿宋_GB2312" w:cs="仿宋_GB2312"/>
          <w:color w:val="000000"/>
          <w:sz w:val="32"/>
          <w:szCs w:val="32"/>
          <w:lang w:eastAsia="zh-CN"/>
        </w:rPr>
      </w:pPr>
    </w:p>
    <w:p w14:paraId="5AB0A914">
      <w:pPr>
        <w:pStyle w:val="6"/>
        <w:keepNext w:val="0"/>
        <w:keepLines w:val="0"/>
        <w:pageBreakBefore w:val="0"/>
        <w:widowControl w:val="0"/>
        <w:kinsoku/>
        <w:wordWrap/>
        <w:overflowPunct/>
        <w:topLinePunct w:val="0"/>
        <w:autoSpaceDE/>
        <w:autoSpaceDN/>
        <w:bidi w:val="0"/>
        <w:adjustRightInd/>
        <w:snapToGrid/>
        <w:spacing w:beforeLines="0" w:after="0" w:afterLines="0" w:line="560" w:lineRule="exact"/>
        <w:ind w:left="0" w:leftChars="0" w:firstLine="640" w:firstLineChars="200"/>
        <w:jc w:val="left"/>
        <w:textAlignment w:val="auto"/>
        <w:rPr>
          <w:rFonts w:hint="eastAsia" w:ascii="Times New Roman" w:hAnsi="Times New Roman" w:eastAsia="仿宋_GB2312" w:cs="仿宋_GB2312"/>
          <w:color w:val="000000"/>
          <w:sz w:val="32"/>
          <w:szCs w:val="32"/>
          <w:lang w:eastAsia="zh-CN"/>
        </w:rPr>
      </w:pPr>
      <w:r>
        <w:rPr>
          <w:rFonts w:hint="eastAsia" w:ascii="Times New Roman" w:hAnsi="Times New Roman" w:eastAsia="仿宋_GB2312" w:cs="仿宋_GB2312"/>
          <w:color w:val="000000"/>
          <w:sz w:val="32"/>
          <w:szCs w:val="32"/>
          <w:lang w:eastAsia="zh-CN"/>
        </w:rPr>
        <w:t>附：项目自评汇总表</w:t>
      </w:r>
    </w:p>
    <w:p w14:paraId="7CEE4953">
      <w:pPr>
        <w:pStyle w:val="2"/>
        <w:rPr>
          <w:rFonts w:hint="eastAsia"/>
        </w:rPr>
      </w:pPr>
    </w:p>
    <w:bookmarkEnd w:id="0"/>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4AE5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-146050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27AE13">
                          <w:pPr>
                            <w:pStyle w:val="3"/>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1.5pt;height:144pt;width:144pt;mso-position-horizontal:outside;mso-position-horizontal-relative:margin;mso-wrap-style:none;z-index:251659264;mso-width-relative:page;mso-height-relative:page;" filled="f" stroked="f" coordsize="21600,21600" o:gfxdata="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WFz161AAAAAgBAAAPAAAAAAAAAAEAIAAAACIAAABkcnMvZG93bnJldi54bWxQSwEC&#10;FAAUAAAACACHTuJAa4X5+zECAABhBAAADgAAAAAAAAABACAAAAAjAQAAZHJzL2Uyb0RvYy54bWxQ&#10;SwUGAAAAAAYABgBZAQAAxgUAAAAA&#10;">
              <v:fill on="f" focussize="0,0"/>
              <v:stroke on="f" weight="0.5pt"/>
              <v:imagedata o:title=""/>
              <o:lock v:ext="edit" aspectratio="f"/>
              <v:textbox inset="0mm,0mm,0mm,0mm" style="mso-fit-shape-to-text:t;">
                <w:txbxContent>
                  <w:p w14:paraId="4B27AE13">
                    <w:pPr>
                      <w:pStyle w:val="3"/>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2N2JiZWRjMmIyOGZlYjkyNDY5OWQyMTk0OGRkYjMifQ=="/>
  </w:docVars>
  <w:rsids>
    <w:rsidRoot w:val="32236FDE"/>
    <w:rsid w:val="0B6F18D9"/>
    <w:rsid w:val="0BD24D5F"/>
    <w:rsid w:val="0F7F28D1"/>
    <w:rsid w:val="153AB5E9"/>
    <w:rsid w:val="16D732A3"/>
    <w:rsid w:val="17584071"/>
    <w:rsid w:val="177BB2CB"/>
    <w:rsid w:val="17FFB78D"/>
    <w:rsid w:val="19452321"/>
    <w:rsid w:val="1B1F7F44"/>
    <w:rsid w:val="27FF3107"/>
    <w:rsid w:val="28D87E2F"/>
    <w:rsid w:val="2D4B094B"/>
    <w:rsid w:val="2D7BE57D"/>
    <w:rsid w:val="2FFA599B"/>
    <w:rsid w:val="32236FDE"/>
    <w:rsid w:val="3579BEA7"/>
    <w:rsid w:val="36CFEF0C"/>
    <w:rsid w:val="377D23DF"/>
    <w:rsid w:val="39D17C34"/>
    <w:rsid w:val="3A7F97C7"/>
    <w:rsid w:val="3BDB0A97"/>
    <w:rsid w:val="3BFEAD1D"/>
    <w:rsid w:val="3D17E288"/>
    <w:rsid w:val="3D85A602"/>
    <w:rsid w:val="3EFF3590"/>
    <w:rsid w:val="3F3E0767"/>
    <w:rsid w:val="3F7F01C6"/>
    <w:rsid w:val="3FDD8DDD"/>
    <w:rsid w:val="3FFBB599"/>
    <w:rsid w:val="45FF6C12"/>
    <w:rsid w:val="469D6DA7"/>
    <w:rsid w:val="46F75447"/>
    <w:rsid w:val="497C8595"/>
    <w:rsid w:val="4DF3A015"/>
    <w:rsid w:val="4E8E4B03"/>
    <w:rsid w:val="4FFE6821"/>
    <w:rsid w:val="55FF90FD"/>
    <w:rsid w:val="57F7BCBD"/>
    <w:rsid w:val="59CF4CCF"/>
    <w:rsid w:val="5B78D6F4"/>
    <w:rsid w:val="5D7FFC5E"/>
    <w:rsid w:val="5FFCEEE1"/>
    <w:rsid w:val="5FFFD3C9"/>
    <w:rsid w:val="620BA2C9"/>
    <w:rsid w:val="62F4361F"/>
    <w:rsid w:val="64ECC024"/>
    <w:rsid w:val="67777CC1"/>
    <w:rsid w:val="67DEED98"/>
    <w:rsid w:val="69FE8048"/>
    <w:rsid w:val="6AF063F0"/>
    <w:rsid w:val="6B4E23B9"/>
    <w:rsid w:val="6BDA1EA3"/>
    <w:rsid w:val="6CB59D46"/>
    <w:rsid w:val="6CBBE447"/>
    <w:rsid w:val="6D66B132"/>
    <w:rsid w:val="6DBBA0A2"/>
    <w:rsid w:val="6E7EF6B6"/>
    <w:rsid w:val="6E970799"/>
    <w:rsid w:val="6F7AE35B"/>
    <w:rsid w:val="6FBF7C58"/>
    <w:rsid w:val="6FF57902"/>
    <w:rsid w:val="6FFD2B27"/>
    <w:rsid w:val="70FD13C9"/>
    <w:rsid w:val="72CFEAB8"/>
    <w:rsid w:val="72D26A93"/>
    <w:rsid w:val="73791901"/>
    <w:rsid w:val="73EF8D40"/>
    <w:rsid w:val="756D2629"/>
    <w:rsid w:val="757BB5D1"/>
    <w:rsid w:val="759743DB"/>
    <w:rsid w:val="77BF6D35"/>
    <w:rsid w:val="77D7D968"/>
    <w:rsid w:val="77FBE9EA"/>
    <w:rsid w:val="77FE4F9A"/>
    <w:rsid w:val="77FEC4AE"/>
    <w:rsid w:val="787F4925"/>
    <w:rsid w:val="7AFBFAE3"/>
    <w:rsid w:val="7B6F886F"/>
    <w:rsid w:val="7BBDBEC4"/>
    <w:rsid w:val="7BDCDD92"/>
    <w:rsid w:val="7BEB449D"/>
    <w:rsid w:val="7BEC8B02"/>
    <w:rsid w:val="7BFF3690"/>
    <w:rsid w:val="7C29FCF6"/>
    <w:rsid w:val="7CDFBB41"/>
    <w:rsid w:val="7D7C8CF8"/>
    <w:rsid w:val="7DAD44CC"/>
    <w:rsid w:val="7DE915B0"/>
    <w:rsid w:val="7DEFCFE6"/>
    <w:rsid w:val="7EFE7DB1"/>
    <w:rsid w:val="7EFFC740"/>
    <w:rsid w:val="7F3F9DF0"/>
    <w:rsid w:val="7F6B47FE"/>
    <w:rsid w:val="7F97DD5C"/>
    <w:rsid w:val="7F9FB204"/>
    <w:rsid w:val="7FF77753"/>
    <w:rsid w:val="7FFA021D"/>
    <w:rsid w:val="7FFCF3A1"/>
    <w:rsid w:val="7FFF6032"/>
    <w:rsid w:val="7FFF89EE"/>
    <w:rsid w:val="8FFF317B"/>
    <w:rsid w:val="8FFFCC95"/>
    <w:rsid w:val="9FBBA348"/>
    <w:rsid w:val="A77ADC84"/>
    <w:rsid w:val="A7C3710B"/>
    <w:rsid w:val="A7FA723E"/>
    <w:rsid w:val="A9DBD61A"/>
    <w:rsid w:val="ADF84E81"/>
    <w:rsid w:val="B76D5D07"/>
    <w:rsid w:val="B7D780C8"/>
    <w:rsid w:val="BB5BC1BF"/>
    <w:rsid w:val="BBDFA793"/>
    <w:rsid w:val="BBFF6091"/>
    <w:rsid w:val="BD531EA6"/>
    <w:rsid w:val="BDDE4B43"/>
    <w:rsid w:val="BF6B6C2A"/>
    <w:rsid w:val="BFDF5D6E"/>
    <w:rsid w:val="BFEE04BF"/>
    <w:rsid w:val="BFFE795F"/>
    <w:rsid w:val="C7EFD31C"/>
    <w:rsid w:val="CDD7C9DD"/>
    <w:rsid w:val="CEEDCCA3"/>
    <w:rsid w:val="D73EBD59"/>
    <w:rsid w:val="D7F55C67"/>
    <w:rsid w:val="DAB31CB5"/>
    <w:rsid w:val="DABB20F6"/>
    <w:rsid w:val="DAF218B8"/>
    <w:rsid w:val="DDEFC1FC"/>
    <w:rsid w:val="DEFD3E24"/>
    <w:rsid w:val="DF53BEA2"/>
    <w:rsid w:val="DF6741E2"/>
    <w:rsid w:val="DFFEF091"/>
    <w:rsid w:val="DFFF2BCB"/>
    <w:rsid w:val="E2FFCF6D"/>
    <w:rsid w:val="E69ED7C7"/>
    <w:rsid w:val="EBE389E9"/>
    <w:rsid w:val="EDFF1181"/>
    <w:rsid w:val="EF979E02"/>
    <w:rsid w:val="EFBF3BB3"/>
    <w:rsid w:val="EFEE37E7"/>
    <w:rsid w:val="EFEF4D77"/>
    <w:rsid w:val="F39A5240"/>
    <w:rsid w:val="F5FAE29E"/>
    <w:rsid w:val="F63F817D"/>
    <w:rsid w:val="F653A571"/>
    <w:rsid w:val="F6DE4F3F"/>
    <w:rsid w:val="F7A76C79"/>
    <w:rsid w:val="F7FE4802"/>
    <w:rsid w:val="F7FF910E"/>
    <w:rsid w:val="FAFAD68F"/>
    <w:rsid w:val="FB7DBBF9"/>
    <w:rsid w:val="FB7DE8BD"/>
    <w:rsid w:val="FBF7C381"/>
    <w:rsid w:val="FDDF9B70"/>
    <w:rsid w:val="FDF70867"/>
    <w:rsid w:val="FE7FA2C9"/>
    <w:rsid w:val="FEB6F50A"/>
    <w:rsid w:val="FEBD8549"/>
    <w:rsid w:val="FEFE9FFD"/>
    <w:rsid w:val="FF0BBCBF"/>
    <w:rsid w:val="FF75AE3C"/>
    <w:rsid w:val="FF770718"/>
    <w:rsid w:val="FF7F9DED"/>
    <w:rsid w:val="FF8F7F61"/>
    <w:rsid w:val="FFBF7A51"/>
    <w:rsid w:val="FFE779AF"/>
    <w:rsid w:val="FFF7CD1B"/>
    <w:rsid w:val="FFFB6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hint="eastAsia" w:ascii="华文中宋" w:hAnsi="华文中宋" w:eastAsia="华文中宋"/>
      <w:sz w:val="36"/>
      <w:szCs w:val="36"/>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0"/>
    <w:pPr>
      <w:spacing w:before="100" w:beforeAutospacing="1" w:after="100" w:afterAutospacing="1"/>
      <w:jc w:val="left"/>
    </w:pPr>
    <w:rPr>
      <w:kern w:val="0"/>
      <w:sz w:val="24"/>
    </w:rPr>
  </w:style>
  <w:style w:type="paragraph" w:styleId="6">
    <w:name w:val="Body Text First Indent"/>
    <w:basedOn w:val="2"/>
    <w:qFormat/>
    <w:uiPriority w:val="0"/>
    <w:pPr>
      <w:ind w:firstLine="420" w:firstLineChars="1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2345</Words>
  <Characters>2665</Characters>
  <Lines>0</Lines>
  <Paragraphs>0</Paragraphs>
  <TotalTime>5</TotalTime>
  <ScaleCrop>false</ScaleCrop>
  <LinksUpToDate>false</LinksUpToDate>
  <CharactersWithSpaces>2667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2023-03-29T16:14:00Z</dcterms:created>
  <dc:creator>刘彦</dc:creator>
  <cp:lastModifiedBy>WPS_1640160973</cp:lastModifiedBy>
  <cp:lastPrinted>2023-03-31T11:24:00Z</cp:lastPrinted>
  <dcterms:modified xsi:type="dcterms:W3CDTF">2024-09-30T11:12:36Z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5CA86233087B4218B2D85A211CC3873C</vt:lpwstr>
  </property>
</Properties>
</file>