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退休人员补助费</w:t>
      </w:r>
      <w:r>
        <w:rPr>
          <w:rFonts w:hint="eastAsia" w:ascii="方正小标宋简体" w:eastAsia="方正小标宋简体"/>
          <w:sz w:val="44"/>
          <w:szCs w:val="44"/>
        </w:rPr>
        <w:t>预算项目项目绩效自评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pStyle w:val="8"/>
        <w:rPr>
          <w:rFonts w:hint="eastAsia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1．项目立项背景: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根据退休人员补助要求，完成本单位政务中心退休人员各项补助费用。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完成2023年政务中心退休人员各项费用拨款工作。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年初退休人员补助费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预算0.807万，要求实际支出从2022年产生退休人员补助费0.759万元，经费来源于玉东财政拨款，全年总金额为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0.759万元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2．项目资金（主要是指财政资金）实际使用情况，包括项目主要内容和涉及范围</w:t>
      </w: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退休人员补助费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0.759万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根据甲乙双方的约定及玉东新区相关财务要求支付，符合要求。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经费申请及拨付均符合玉东新区相关财务规定。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根据使用退休人员补助费开展此项工作。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（1）确定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使用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（2）根据相关要求开展工作；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政务中心，根据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约定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条件的支付相关费用。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水电费</w:t>
      </w:r>
      <w:r>
        <w:rPr>
          <w:rFonts w:hint="eastAsia" w:ascii="仿宋_GB2312" w:eastAsia="仿宋_GB2312"/>
          <w:color w:val="000000"/>
          <w:sz w:val="32"/>
          <w:szCs w:val="32"/>
        </w:rPr>
        <w:t>工作仍在开展，总体评价较好。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4F96FF0"/>
    <w:rsid w:val="06563FCE"/>
    <w:rsid w:val="09652EA6"/>
    <w:rsid w:val="0D780CCE"/>
    <w:rsid w:val="0DBA3094"/>
    <w:rsid w:val="0E7B0A75"/>
    <w:rsid w:val="10B97633"/>
    <w:rsid w:val="145F47D3"/>
    <w:rsid w:val="154A11A2"/>
    <w:rsid w:val="155B42FA"/>
    <w:rsid w:val="18E65685"/>
    <w:rsid w:val="195B1BCF"/>
    <w:rsid w:val="196F0EC5"/>
    <w:rsid w:val="1B1E2EB4"/>
    <w:rsid w:val="1B7967EB"/>
    <w:rsid w:val="1C2969D6"/>
    <w:rsid w:val="1D5F77B4"/>
    <w:rsid w:val="1D65301C"/>
    <w:rsid w:val="1E4C1AE7"/>
    <w:rsid w:val="22680EB9"/>
    <w:rsid w:val="23CB7951"/>
    <w:rsid w:val="27BF3329"/>
    <w:rsid w:val="2B7658A9"/>
    <w:rsid w:val="2C0E487F"/>
    <w:rsid w:val="2CCD64E8"/>
    <w:rsid w:val="2D0143E4"/>
    <w:rsid w:val="2FD951A4"/>
    <w:rsid w:val="34D81ECE"/>
    <w:rsid w:val="35A85D44"/>
    <w:rsid w:val="36363350"/>
    <w:rsid w:val="36E92171"/>
    <w:rsid w:val="37F214F9"/>
    <w:rsid w:val="381E22EE"/>
    <w:rsid w:val="38D155B2"/>
    <w:rsid w:val="391F631E"/>
    <w:rsid w:val="3A127C30"/>
    <w:rsid w:val="3CC03AC9"/>
    <w:rsid w:val="40754A75"/>
    <w:rsid w:val="42701998"/>
    <w:rsid w:val="45321187"/>
    <w:rsid w:val="455A06DD"/>
    <w:rsid w:val="46207231"/>
    <w:rsid w:val="4B094738"/>
    <w:rsid w:val="4B7C7600"/>
    <w:rsid w:val="4DDA23BB"/>
    <w:rsid w:val="505334B6"/>
    <w:rsid w:val="563D5BDD"/>
    <w:rsid w:val="576378C6"/>
    <w:rsid w:val="59C507C7"/>
    <w:rsid w:val="5AE66844"/>
    <w:rsid w:val="5C1B42CB"/>
    <w:rsid w:val="5CE943C9"/>
    <w:rsid w:val="5D1321A4"/>
    <w:rsid w:val="5D553044"/>
    <w:rsid w:val="5E4044BD"/>
    <w:rsid w:val="628726BA"/>
    <w:rsid w:val="63400ABB"/>
    <w:rsid w:val="63C204F4"/>
    <w:rsid w:val="67717495"/>
    <w:rsid w:val="6850354E"/>
    <w:rsid w:val="693E3CEF"/>
    <w:rsid w:val="6BD46244"/>
    <w:rsid w:val="6C1D5E3D"/>
    <w:rsid w:val="6E0948CB"/>
    <w:rsid w:val="6EE3511C"/>
    <w:rsid w:val="6FC36CFC"/>
    <w:rsid w:val="73E159A2"/>
    <w:rsid w:val="759A405B"/>
    <w:rsid w:val="7BA774D1"/>
    <w:rsid w:val="7E7672B0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等线" w:eastAsia="黑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676</Words>
  <Characters>704</Characters>
  <Lines>0</Lines>
  <Paragraphs>0</Paragraphs>
  <TotalTime>0</TotalTime>
  <ScaleCrop>false</ScaleCrop>
  <LinksUpToDate>false</LinksUpToDate>
  <CharactersWithSpaces>704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2023-04-05T10:18:11Z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1748E7BDFCA24F389C46304A58C8F442</vt:lpwstr>
  </property>
</Properties>
</file>