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年度玉林市玉东新区政务中心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水电</w:t>
      </w:r>
      <w:r>
        <w:rPr>
          <w:rFonts w:hint="eastAsia" w:ascii="方正小标宋简体" w:eastAsia="方正小标宋简体"/>
          <w:sz w:val="44"/>
          <w:szCs w:val="44"/>
        </w:rPr>
        <w:t>费预算项目项目绩效自评报告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一、项目基本情况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（一）项目立项情况。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1．项目立项背景: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现租用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同德苑小区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租赁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合同约定，租赁期间水电费由我中心支付。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因无法单独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我中心的水电表，我中心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运行产生的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由东投公司垫付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，水费由鸿东公司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垫付。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我单位定期拨款，保障日常办公水电使用正常，更好地开展政务服务工作。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2．资金用途及目的: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因无法单独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我中心的水电表，我中心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运行产生的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由东投公司垫付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，水费由鸿东公司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垫付。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根据实际使用数量拨付，以保证本单位水电费正常使用。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（二）项目资金管理使用情况。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1．项目资金（包括财政资金、自筹资金等）安排落实、总投入等情况。</w:t>
      </w:r>
      <w:bookmarkStart w:id="0" w:name="_GoBack"/>
      <w:bookmarkEnd w:id="0"/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年初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水电费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预算8万，要求实际支出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产生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电费56583.65元、水费2314.85元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水电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费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58898.5元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2．项目资金（主要是指财政资金）实际使用情况，包括项目主要内容和涉及范围。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水电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费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58898.5</w:t>
      </w:r>
      <w:r>
        <w:rPr>
          <w:rFonts w:hint="eastAsia" w:ascii="仿宋_GB2312" w:eastAsia="仿宋_GB2312"/>
          <w:color w:val="000000"/>
          <w:sz w:val="32"/>
          <w:szCs w:val="32"/>
        </w:rPr>
        <w:t>万元。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拨付给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电费东投公司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，水费鸿东公司。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3．项目资金管理情况（包括管理制度、办法的制订及执行情况）。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根据甲乙双方的约定及玉东新区相关财务要求支付，符合要求。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4．项目资金支出及拨付合规性情况。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经费申请及拨付均符合玉东新区相关财务规定。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（三）年初绩效目标及其衡量指标设定情况。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按年初绩效目标完成绩效任务。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（四）项目组织管理情况。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1．项目组织情况（包括项目招投标情况、调整情况、完成验收等）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  <w:t>根据使用水电费开展此项工作。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2．项目管理情况（包括项目管理制度建设、日常检查监督管理等情况）．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（1）确定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使用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单位；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（2）根据相关要求开展工作；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二、项目评价工作开展情况</w:t>
      </w:r>
    </w:p>
    <w:p>
      <w:pPr>
        <w:widowControl/>
        <w:spacing w:line="560" w:lineRule="exact"/>
        <w:ind w:firstLine="560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玉东新区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政务中心，根据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约定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符合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条件的支付相关费用。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三、项目绩效情况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（一）绩效目标完成情况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（二）绩效分析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（三）总体自我评价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水电费</w:t>
      </w:r>
      <w:r>
        <w:rPr>
          <w:rFonts w:hint="eastAsia" w:ascii="仿宋_GB2312" w:eastAsia="仿宋_GB2312"/>
          <w:color w:val="000000"/>
          <w:sz w:val="32"/>
          <w:szCs w:val="32"/>
        </w:rPr>
        <w:t>工作仍在开展，总体评价较好。</w:t>
      </w:r>
    </w:p>
    <w:p>
      <w:pPr>
        <w:spacing w:line="560" w:lineRule="exact"/>
        <w:ind w:firstLine="643" w:firstLineChars="200"/>
        <w:rPr>
          <w:rFonts w:hint="eastAsia"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四、主要经验做法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、存在的问题和原因分析五、工作改进建议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- 1 -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ZTY4YjcxNmMzYmYwM2U0MzJlY2JmNDQ1MzMzNTEifQ=="/>
  </w:docVars>
  <w:rsids>
    <w:rsidRoot w:val="196F0EC5"/>
    <w:rsid w:val="06563FCE"/>
    <w:rsid w:val="0D780CCE"/>
    <w:rsid w:val="145F47D3"/>
    <w:rsid w:val="154A11A2"/>
    <w:rsid w:val="155B42FA"/>
    <w:rsid w:val="195B1BCF"/>
    <w:rsid w:val="196F0EC5"/>
    <w:rsid w:val="1B1E2EB4"/>
    <w:rsid w:val="22680EB9"/>
    <w:rsid w:val="27BF3329"/>
    <w:rsid w:val="2D0143E4"/>
    <w:rsid w:val="2FD951A4"/>
    <w:rsid w:val="31361A0B"/>
    <w:rsid w:val="34D81ECE"/>
    <w:rsid w:val="35A85D44"/>
    <w:rsid w:val="38D155B2"/>
    <w:rsid w:val="391F631E"/>
    <w:rsid w:val="3CC03AC9"/>
    <w:rsid w:val="40754A75"/>
    <w:rsid w:val="42701998"/>
    <w:rsid w:val="45321187"/>
    <w:rsid w:val="455A06DD"/>
    <w:rsid w:val="4DDA23BB"/>
    <w:rsid w:val="576378C6"/>
    <w:rsid w:val="59C507C7"/>
    <w:rsid w:val="5AE66844"/>
    <w:rsid w:val="5C1B42CB"/>
    <w:rsid w:val="5D553044"/>
    <w:rsid w:val="5E4044BD"/>
    <w:rsid w:val="628726BA"/>
    <w:rsid w:val="63400ABB"/>
    <w:rsid w:val="63C204F4"/>
    <w:rsid w:val="67717495"/>
    <w:rsid w:val="693E3CEF"/>
    <w:rsid w:val="6BD46244"/>
    <w:rsid w:val="6E0948CB"/>
    <w:rsid w:val="6FC36CFC"/>
    <w:rsid w:val="759A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1正文"/>
    <w:basedOn w:val="1"/>
    <w:qFormat/>
    <w:uiPriority w:val="0"/>
    <w:pPr>
      <w:spacing w:line="360" w:lineRule="auto"/>
      <w:ind w:firstLine="420" w:firstLineChars="200"/>
      <w:jc w:val="left"/>
    </w:pPr>
    <w:rPr>
      <w:rFonts w:ascii="宋体" w:hAnsi="宋体" w:cs="宋体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833</Words>
  <Characters>876</Characters>
  <Lines>0</Lines>
  <Paragraphs>0</Paragraphs>
  <TotalTime>6</TotalTime>
  <ScaleCrop>false</ScaleCrop>
  <LinksUpToDate>false</LinksUpToDate>
  <CharactersWithSpaces>876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2023-03-31T03:21:00Z</dcterms:created>
  <dc:creator>NTKO</dc:creator>
  <cp:lastModifiedBy>夜明珠</cp:lastModifiedBy>
  <dcterms:modified xsi:type="dcterms:W3CDTF">2023-04-05T08:24:56Z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1748E7BDFCA24F389C46304A58C8F442</vt:lpwstr>
  </property>
</Properties>
</file>