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年度玉林市玉东新区政务中心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伙食费预算项目项目绩效自评报告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1．项目立项背景: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我中心自2016年1月搬迁至同德苑小区办公以来，政务中心干部职工及进驻单位的工作人员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在玉林市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尚东商务服务有限公司食堂就餐，调动干部职工的积极性，更好地开展政务服务工作。。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因玉东新区政务中心没有自己的食堂，需到东投公司食堂解决职工就餐需求，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保障职工正常用餐管理。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年初预算31万，要求实际支出2021年3月-2022年8月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伙食费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总金额为19.58985万元。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2．项目资金（主要是指财政资金）实际使用情况，包括项目主要内容和涉及范围。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2021年3月-2022年8月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伙食费</w:t>
      </w:r>
      <w:r>
        <w:rPr>
          <w:rFonts w:hint="eastAsia" w:ascii="仿宋_GB2312" w:eastAsia="仿宋_GB2312"/>
          <w:color w:val="000000"/>
          <w:sz w:val="32"/>
          <w:szCs w:val="32"/>
        </w:rPr>
        <w:t>经费来源于玉东财政拨款，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总金额为19.58985万元。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拨付给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玉林市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尚东商务服务有限公司。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根据甲乙双方的约定及玉东新区相关财务要求支付，符合要求。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经费申请及拨付均符合玉东新区相关财务规定。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color w:val="000000"/>
          <w:sz w:val="32"/>
          <w:szCs w:val="32"/>
          <w:lang w:eastAsia="zh-CN"/>
        </w:rPr>
        <w:t>根据实报实销开展此项工作。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（1）确定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就餐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（2）根据相关要求开展工作；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政务中心，根据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约定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条件的支付相关费用。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按要求完成</w:t>
      </w:r>
      <w:r>
        <w:rPr>
          <w:rFonts w:hint="eastAsia" w:ascii="仿宋_GB2312" w:eastAsia="仿宋_GB2312"/>
          <w:color w:val="000000"/>
          <w:sz w:val="32"/>
          <w:szCs w:val="32"/>
        </w:rPr>
        <w:t>开展后续工作。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伙食费</w:t>
      </w:r>
      <w:r>
        <w:rPr>
          <w:rFonts w:hint="eastAsia" w:ascii="仿宋_GB2312" w:eastAsia="仿宋_GB2312"/>
          <w:color w:val="000000"/>
          <w:sz w:val="32"/>
          <w:szCs w:val="32"/>
        </w:rPr>
        <w:t>工作仍在开展，总体评价较好。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06563FCE"/>
    <w:rsid w:val="145F47D3"/>
    <w:rsid w:val="154A11A2"/>
    <w:rsid w:val="195B1BCF"/>
    <w:rsid w:val="196F0EC5"/>
    <w:rsid w:val="1B1E2EB4"/>
    <w:rsid w:val="2D0143E4"/>
    <w:rsid w:val="2FD951A4"/>
    <w:rsid w:val="38D155B2"/>
    <w:rsid w:val="391F631E"/>
    <w:rsid w:val="3CC03AC9"/>
    <w:rsid w:val="40754A75"/>
    <w:rsid w:val="45321187"/>
    <w:rsid w:val="455A06DD"/>
    <w:rsid w:val="59C507C7"/>
    <w:rsid w:val="5AE66844"/>
    <w:rsid w:val="5C1B42CB"/>
    <w:rsid w:val="5D553044"/>
    <w:rsid w:val="5E4044BD"/>
    <w:rsid w:val="63400ABB"/>
    <w:rsid w:val="63C204F4"/>
    <w:rsid w:val="67717495"/>
    <w:rsid w:val="693E3CEF"/>
    <w:rsid w:val="6BD46244"/>
    <w:rsid w:val="6E0948CB"/>
    <w:rsid w:val="759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699</Words>
  <Characters>734</Characters>
  <Lines>0</Lines>
  <Paragraphs>0</Paragraphs>
  <TotalTime>1</TotalTime>
  <ScaleCrop>false</ScaleCrop>
  <LinksUpToDate>false</LinksUpToDate>
  <CharactersWithSpaces>734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2023-04-05T03:41:01Z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1748E7BDFCA24F389C46304A58C8F442</vt:lpwstr>
  </property>
</Properties>
</file>