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2022年度预算项目绩效评价报告提纲</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（中小企业发展专项）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eastAsia="仿宋_GB2312"/>
          <w:color w:val="000000"/>
          <w:sz w:val="32"/>
          <w:szCs w:val="32"/>
          <w:lang w:val="en-US" w:eastAsia="zh-CN"/>
        </w:rPr>
      </w:pPr>
      <w:r>
        <w:rPr>
          <w:rFonts w:hint="eastAsia" w:eastAsia="仿宋_GB2312"/>
          <w:b/>
          <w:bCs/>
          <w:color w:val="000000"/>
          <w:sz w:val="32"/>
          <w:szCs w:val="32"/>
          <w:lang w:val="en-US" w:eastAsia="zh-CN"/>
        </w:rPr>
        <w:t>1．项目立项背景。</w:t>
      </w:r>
      <w:r>
        <w:rPr>
          <w:rFonts w:hint="eastAsia" w:eastAsia="仿宋_GB2312"/>
          <w:color w:val="000000"/>
          <w:sz w:val="32"/>
          <w:szCs w:val="32"/>
          <w:lang w:val="en-US" w:eastAsia="zh-CN"/>
        </w:rPr>
        <w:t>根据2010年1月20日玉林市经济开发区和广西旺旺食品有限公司签订《投资项目协议书》以及《投资项目补充协议》，给与相对应的政府优惠政策（所得税、增值税、房产税、土地使用税、印花税、地方水利建设资金等）</w:t>
      </w:r>
      <w:r>
        <w:rPr>
          <w:rFonts w:hint="eastAsia" w:ascii="仿宋_GB2312" w:hAnsi="宋体" w:eastAsia="仿宋_GB2312" w:cs="仿宋_GB2312"/>
          <w:i w:val="0"/>
          <w:iCs w:val="0"/>
          <w:caps w:val="0"/>
          <w:color w:val="000000"/>
          <w:spacing w:val="0"/>
          <w:sz w:val="32"/>
          <w:szCs w:val="32"/>
          <w:shd w:val="clear" w:fill="FFFFFF"/>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eastAsia="仿宋_GB2312"/>
          <w:color w:val="000000"/>
          <w:sz w:val="32"/>
          <w:szCs w:val="32"/>
        </w:rPr>
      </w:pPr>
      <w:r>
        <w:rPr>
          <w:rFonts w:hint="eastAsia" w:eastAsia="仿宋_GB2312"/>
          <w:b/>
          <w:bCs/>
          <w:color w:val="000000"/>
          <w:sz w:val="32"/>
          <w:szCs w:val="32"/>
          <w:lang w:val="en-US" w:eastAsia="zh-CN"/>
        </w:rPr>
        <w:t>2．资金用途及目的。</w:t>
      </w:r>
      <w:r>
        <w:rPr>
          <w:rFonts w:hint="eastAsia" w:eastAsia="仿宋_GB2312"/>
          <w:color w:val="000000"/>
          <w:sz w:val="32"/>
          <w:szCs w:val="32"/>
          <w:lang w:eastAsia="zh-CN"/>
        </w:rPr>
        <w:t>鼓励企业发挥更大效益</w:t>
      </w:r>
      <w:r>
        <w:rPr>
          <w:rFonts w:hint="eastAsia" w:eastAsia="仿宋_GB2312"/>
          <w:color w:val="00000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（二）项目资金管理使用情况。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color w:val="000000"/>
          <w:sz w:val="32"/>
          <w:szCs w:val="32"/>
          <w:lang w:val="en-US" w:eastAsia="zh-CN"/>
        </w:rPr>
      </w:pPr>
      <w:r>
        <w:rPr>
          <w:rFonts w:eastAsia="仿宋_GB2312"/>
          <w:b w:val="0"/>
          <w:bCs w:val="0"/>
          <w:color w:val="000000"/>
          <w:sz w:val="32"/>
          <w:szCs w:val="32"/>
        </w:rPr>
        <w:t>1．</w:t>
      </w:r>
      <w:r>
        <w:rPr>
          <w:rFonts w:hint="eastAsia" w:ascii="仿宋_GB2312" w:hAnsi="仿宋_GB2312" w:eastAsia="仿宋_GB2312" w:cs="仿宋_GB2312"/>
          <w:b w:val="0"/>
          <w:bCs w:val="0"/>
          <w:color w:val="auto"/>
          <w:sz w:val="32"/>
          <w:szCs w:val="32"/>
        </w:rPr>
        <w:t>目资金</w:t>
      </w:r>
      <w:r>
        <w:rPr>
          <w:rFonts w:hint="eastAsia" w:ascii="仿宋_GB2312" w:hAnsi="仿宋_GB2312" w:eastAsia="仿宋_GB2312" w:cs="仿宋_GB2312"/>
          <w:b w:val="0"/>
          <w:bCs w:val="0"/>
          <w:color w:val="auto"/>
          <w:sz w:val="32"/>
          <w:szCs w:val="32"/>
          <w:lang w:val="en-US" w:eastAsia="zh-CN"/>
        </w:rPr>
        <w:t>主要来源于玉东财政资金，2022年预算申报2000万元</w:t>
      </w:r>
      <w:r>
        <w:rPr>
          <w:rFonts w:eastAsia="仿宋_GB2312"/>
          <w:b w:val="0"/>
          <w:bCs w:val="0"/>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b w:val="0"/>
          <w:bCs w:val="0"/>
          <w:color w:val="000000"/>
          <w:sz w:val="32"/>
          <w:szCs w:val="32"/>
          <w:lang w:val="en-US"/>
        </w:rPr>
      </w:pPr>
      <w:r>
        <w:rPr>
          <w:rFonts w:eastAsia="仿宋_GB2312"/>
          <w:b w:val="0"/>
          <w:bCs w:val="0"/>
          <w:color w:val="000000"/>
          <w:sz w:val="32"/>
          <w:szCs w:val="32"/>
        </w:rPr>
        <w:t>2．</w:t>
      </w:r>
      <w:r>
        <w:rPr>
          <w:rFonts w:hint="eastAsia" w:eastAsia="仿宋_GB2312"/>
          <w:b w:val="0"/>
          <w:bCs w:val="0"/>
          <w:color w:val="000000"/>
          <w:sz w:val="32"/>
          <w:szCs w:val="32"/>
          <w:lang w:val="en-US" w:eastAsia="zh-CN"/>
        </w:rPr>
        <w:t>未拨付。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b w:val="0"/>
          <w:bCs w:val="0"/>
          <w:color w:val="000000"/>
          <w:sz w:val="32"/>
          <w:szCs w:val="32"/>
        </w:rPr>
      </w:pPr>
      <w:r>
        <w:rPr>
          <w:rFonts w:eastAsia="仿宋_GB2312"/>
          <w:b w:val="0"/>
          <w:bCs w:val="0"/>
          <w:color w:val="000000"/>
          <w:sz w:val="32"/>
          <w:szCs w:val="32"/>
        </w:rPr>
        <w:t>3．</w:t>
      </w:r>
      <w:r>
        <w:rPr>
          <w:rFonts w:hint="eastAsia" w:eastAsia="仿宋_GB2312"/>
          <w:color w:val="000000"/>
          <w:sz w:val="32"/>
          <w:szCs w:val="32"/>
          <w:lang w:eastAsia="zh-CN"/>
        </w:rPr>
        <w:t>项目资金的申请拨付严格按照管委的要求执行。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000000"/>
          <w:sz w:val="32"/>
          <w:szCs w:val="32"/>
        </w:rPr>
      </w:pPr>
      <w:r>
        <w:rPr>
          <w:rFonts w:eastAsia="仿宋_GB2312"/>
          <w:color w:val="000000"/>
          <w:sz w:val="32"/>
          <w:szCs w:val="32"/>
        </w:rPr>
        <w:t>4．项目资金支出及拨付</w:t>
      </w:r>
      <w:r>
        <w:rPr>
          <w:rFonts w:hint="eastAsia" w:eastAsia="仿宋_GB2312"/>
          <w:color w:val="000000"/>
          <w:sz w:val="32"/>
          <w:szCs w:val="32"/>
          <w:lang w:val="en-US" w:eastAsia="zh-CN"/>
        </w:rPr>
        <w:t>相关手续齐全</w:t>
      </w:r>
      <w:r>
        <w:rPr>
          <w:rFonts w:eastAsia="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（三）年初绩效目标及其衡量指标设定情况。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color w:val="000000"/>
          <w:sz w:val="32"/>
          <w:szCs w:val="32"/>
        </w:rPr>
      </w:pPr>
      <w:r>
        <w:rPr>
          <w:rFonts w:hint="eastAsia" w:eastAsia="仿宋_GB2312"/>
          <w:color w:val="000000"/>
          <w:sz w:val="32"/>
          <w:szCs w:val="32"/>
          <w:lang w:val="en-US" w:eastAsia="zh-CN"/>
        </w:rPr>
        <w:t>该项目年初</w:t>
      </w:r>
      <w:r>
        <w:rPr>
          <w:rFonts w:hint="eastAsia" w:ascii="仿宋_GB2312" w:hAnsi="仿宋_GB2312" w:eastAsia="仿宋_GB2312" w:cs="仿宋_GB2312"/>
          <w:color w:val="000000"/>
          <w:sz w:val="32"/>
          <w:szCs w:val="32"/>
          <w:lang w:val="en-US" w:eastAsia="zh-CN"/>
        </w:rPr>
        <w:t>绩效目标是根据企业得税、增值税、房产税、土地使用税、印花税、地方水利建设资金等实际情况进行扶持。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（四）项目组织管理情况。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rPr>
        <w:t>企业申报资料和条件</w:t>
      </w:r>
      <w:r>
        <w:rPr>
          <w:rFonts w:hint="eastAsia" w:eastAsia="仿宋_GB2312"/>
          <w:color w:val="000000"/>
          <w:sz w:val="32"/>
          <w:szCs w:val="32"/>
          <w:lang w:val="en-US" w:eastAsia="zh-CN"/>
        </w:rPr>
        <w:t>需</w:t>
      </w:r>
      <w:r>
        <w:rPr>
          <w:rFonts w:hint="eastAsia" w:eastAsia="仿宋_GB2312"/>
          <w:color w:val="000000"/>
          <w:sz w:val="32"/>
          <w:szCs w:val="32"/>
        </w:rPr>
        <w:t>符合相关要求</w:t>
      </w:r>
      <w:r>
        <w:rPr>
          <w:rFonts w:hint="eastAsia"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color w:val="000000"/>
          <w:sz w:val="32"/>
          <w:szCs w:val="32"/>
        </w:rPr>
      </w:pPr>
      <w:r>
        <w:rPr>
          <w:rFonts w:eastAsia="黑体"/>
          <w:color w:val="000000"/>
          <w:sz w:val="32"/>
          <w:szCs w:val="32"/>
        </w:rPr>
        <w:t>二、项目评价工作开展情况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（一）评价指标构建及细化情况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color w:val="000000"/>
          <w:sz w:val="32"/>
          <w:szCs w:val="32"/>
        </w:rPr>
      </w:pPr>
      <w:r>
        <w:rPr>
          <w:rFonts w:hint="eastAsia" w:eastAsia="仿宋_GB2312"/>
          <w:color w:val="000000"/>
          <w:sz w:val="32"/>
          <w:szCs w:val="32"/>
          <w:lang w:val="en-US" w:eastAsia="zh-CN"/>
        </w:rPr>
        <w:t>绩效评价的目的是为了更进一步了解单位预算资金的使用情况及项目效益，单位预算资金的使用更科学，单位日常工作更有效率。</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评价组织实施及流程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b w:val="0"/>
          <w:bCs w:val="0"/>
          <w:color w:val="000000"/>
          <w:sz w:val="32"/>
          <w:szCs w:val="32"/>
          <w:lang w:val="en-US" w:eastAsia="zh-CN"/>
        </w:rPr>
        <w:t>1 .</w:t>
      </w:r>
      <w:r>
        <w:rPr>
          <w:rFonts w:hint="eastAsia" w:eastAsia="仿宋_GB2312"/>
          <w:color w:val="000000"/>
          <w:sz w:val="32"/>
          <w:szCs w:val="32"/>
          <w:lang w:val="en-US" w:eastAsia="zh-CN"/>
        </w:rPr>
        <w:t>科学规范原则。绩效评价应当严格执行规定的程序，按照科学可行的要求，采用定量与定性分析相结合的方法。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2.公正公开原则。绩效评价应当符合真实、客观、公正的要求，依法公开并接受监督。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lang w:val="en-US" w:eastAsia="zh-CN"/>
        </w:rPr>
        <w:t>3.分级分类原则。绩效评价由各级财政部门、各预算部门根据评价对象的特点分类组织实施。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color w:val="000000"/>
          <w:sz w:val="32"/>
          <w:szCs w:val="32"/>
        </w:rPr>
      </w:pPr>
      <w:r>
        <w:rPr>
          <w:rFonts w:hint="eastAsia" w:eastAsia="仿宋_GB2312"/>
          <w:color w:val="000000"/>
          <w:sz w:val="32"/>
          <w:szCs w:val="32"/>
          <w:lang w:val="en-US" w:eastAsia="zh-CN"/>
        </w:rPr>
        <w:t>4.绩效相关原则。绩效评价应当针对具体支出及其产出绩效进行，评价结果应当清晰反映支出和产出绩效之间的紧密对应关系。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黑体"/>
          <w:color w:val="000000"/>
          <w:sz w:val="32"/>
          <w:szCs w:val="32"/>
        </w:rPr>
      </w:pPr>
      <w:r>
        <w:rPr>
          <w:rFonts w:eastAsia="黑体"/>
          <w:color w:val="000000"/>
          <w:sz w:val="32"/>
          <w:szCs w:val="32"/>
        </w:rPr>
        <w:t>三、项目绩效情况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（一）绩效目标完成情况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未拨付。</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绩效分析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b/>
          <w:bCs/>
          <w:color w:val="000000"/>
          <w:sz w:val="32"/>
          <w:szCs w:val="32"/>
        </w:rPr>
      </w:pPr>
      <w:r>
        <w:rPr>
          <w:rFonts w:hint="eastAsia" w:eastAsia="仿宋_GB2312"/>
          <w:color w:val="000000"/>
          <w:sz w:val="32"/>
          <w:szCs w:val="32"/>
          <w:lang w:eastAsia="zh-CN"/>
        </w:rPr>
        <w:t>为减轻疫情对我区企业经营发展造成的不良影响，支持企业共渡难关，促进经济平稳运行</w:t>
      </w:r>
      <w:r>
        <w:rPr>
          <w:rFonts w:hint="eastAsia" w:ascii="仿宋_GB2312" w:hAnsi="仿宋_GB2312" w:eastAsia="仿宋_GB2312" w:cs="仿宋_GB2312"/>
          <w:color w:val="000000"/>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3" w:firstLineChars="200"/>
        <w:textAlignment w:val="auto"/>
        <w:rPr>
          <w:rFonts w:hint="eastAsia" w:ascii="楷体" w:hAnsi="楷体" w:eastAsia="楷体" w:cs="楷体"/>
          <w:b/>
          <w:bCs/>
          <w:color w:val="000000"/>
          <w:sz w:val="32"/>
          <w:szCs w:val="32"/>
        </w:rPr>
      </w:pPr>
      <w:r>
        <w:rPr>
          <w:rFonts w:hint="eastAsia" w:ascii="楷体" w:hAnsi="楷体" w:eastAsia="楷体" w:cs="楷体"/>
          <w:b/>
          <w:bCs/>
          <w:color w:val="000000"/>
          <w:sz w:val="32"/>
          <w:szCs w:val="32"/>
        </w:rPr>
        <w:t>总体自我评价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default" w:ascii="楷体" w:hAnsi="楷体" w:eastAsia="楷体" w:cs="楷体"/>
          <w:b/>
          <w:bCs/>
          <w:color w:val="000000"/>
          <w:sz w:val="32"/>
          <w:szCs w:val="32"/>
          <w:lang w:val="en-US"/>
        </w:rPr>
      </w:pPr>
      <w:r>
        <w:rPr>
          <w:rFonts w:hint="eastAsia" w:eastAsia="仿宋_GB2312"/>
          <w:color w:val="000000"/>
          <w:sz w:val="32"/>
          <w:szCs w:val="32"/>
          <w:lang w:val="en-US" w:eastAsia="zh-CN"/>
        </w:rPr>
        <w:t>绩效评价指标评分单自评10分。</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hAnsi="黑体" w:eastAsia="黑体"/>
          <w:color w:val="000000"/>
          <w:sz w:val="32"/>
          <w:szCs w:val="32"/>
        </w:rPr>
      </w:pPr>
      <w:r>
        <w:rPr>
          <w:rFonts w:eastAsia="黑体"/>
          <w:color w:val="000000"/>
          <w:sz w:val="32"/>
          <w:szCs w:val="32"/>
        </w:rPr>
        <w:t>主要经验做法</w:t>
      </w:r>
      <w:r>
        <w:rPr>
          <w:rFonts w:hAnsi="黑体" w:eastAsia="黑体"/>
          <w:color w:val="000000"/>
          <w:sz w:val="32"/>
          <w:szCs w:val="32"/>
        </w:rPr>
        <w:t>、存在的问题和原因分析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hAnsi="黑体" w:eastAsia="黑体"/>
          <w:color w:val="000000"/>
          <w:sz w:val="32"/>
          <w:szCs w:val="32"/>
        </w:rPr>
      </w:pPr>
      <w:r>
        <w:rPr>
          <w:rFonts w:hint="eastAsia" w:eastAsia="仿宋_GB2312"/>
          <w:color w:val="000000"/>
          <w:sz w:val="32"/>
          <w:szCs w:val="32"/>
          <w:lang w:val="en-US" w:eastAsia="zh-CN"/>
        </w:rPr>
        <w:t>本单位始终坚持按照玉东新区工委管委工作要求为依据开展各项工作任务，严格按照项目管理要求开展各项工作任务，在工作规划、计划、方案、项目管理和经费预算使用等方面，做到按规矩办事、按计划实施。</w:t>
      </w:r>
    </w:p>
    <w:p>
      <w:pPr>
        <w:keepNext w:val="0"/>
        <w:keepLines w:val="0"/>
        <w:pageBreakBefore w:val="0"/>
        <w:widowControl w:val="0"/>
        <w:numPr>
          <w:ilvl w:val="0"/>
          <w:numId w:val="2"/>
        </w:numPr>
        <w:tabs>
          <w:tab w:val="left" w:pos="683"/>
        </w:tabs>
        <w:kinsoku/>
        <w:wordWrap/>
        <w:overflowPunct/>
        <w:topLinePunct w:val="0"/>
        <w:autoSpaceDE/>
        <w:autoSpaceDN/>
        <w:bidi w:val="0"/>
        <w:adjustRightInd/>
        <w:snapToGrid/>
        <w:spacing w:line="560" w:lineRule="exact"/>
        <w:ind w:left="0" w:leftChars="0" w:firstLine="640" w:firstLineChars="200"/>
        <w:jc w:val="left"/>
        <w:textAlignment w:val="auto"/>
        <w:rPr>
          <w:rFonts w:hAnsi="黑体" w:eastAsia="黑体"/>
          <w:color w:val="000000"/>
          <w:sz w:val="32"/>
          <w:szCs w:val="32"/>
        </w:rPr>
      </w:pPr>
      <w:r>
        <w:rPr>
          <w:rFonts w:hAnsi="黑体" w:eastAsia="黑体"/>
          <w:color w:val="000000"/>
          <w:sz w:val="32"/>
          <w:szCs w:val="32"/>
        </w:rPr>
        <w:t>工作改进建议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hAnsi="黑体" w:eastAsia="黑体"/>
          <w:color w:val="000000"/>
          <w:sz w:val="32"/>
          <w:szCs w:val="32"/>
          <w:lang w:eastAsia="zh-CN"/>
        </w:rPr>
      </w:pPr>
      <w:r>
        <w:rPr>
          <w:rFonts w:hint="eastAsia" w:eastAsia="仿宋_GB2312"/>
          <w:color w:val="000000"/>
          <w:sz w:val="32"/>
          <w:szCs w:val="32"/>
          <w:lang w:val="en-US" w:eastAsia="zh-CN"/>
        </w:rPr>
        <w:t>希望财政局能组织宣讲与培训，让专业人员对项目预算绩效工作进行指导，让工作再上一个新台阶。</w:t>
      </w:r>
    </w:p>
    <w:sectPr>
      <w:pgSz w:w="11906" w:h="16838"/>
      <w:pgMar w:top="1984" w:right="1417" w:bottom="1984"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474AA"/>
    <w:multiLevelType w:val="singleLevel"/>
    <w:tmpl w:val="C4D474AA"/>
    <w:lvl w:ilvl="0" w:tentative="0">
      <w:start w:val="2"/>
      <w:numFmt w:val="chineseCounting"/>
      <w:suff w:val="nothing"/>
      <w:lvlText w:val="（%1）"/>
      <w:lvlJc w:val="left"/>
      <w:rPr>
        <w:rFonts w:hint="eastAsia"/>
      </w:rPr>
    </w:lvl>
  </w:abstractNum>
  <w:abstractNum w:abstractNumId="1">
    <w:nsid w:val="C9447DD8"/>
    <w:multiLevelType w:val="singleLevel"/>
    <w:tmpl w:val="C9447DD8"/>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yMzIwMjcwZWNkNGE1YTEzZmY2YjI0NDA2ZTZkMGIifQ=="/>
  </w:docVars>
  <w:rsids>
    <w:rsidRoot w:val="00000000"/>
    <w:rsid w:val="089D43E8"/>
    <w:rsid w:val="17C17317"/>
    <w:rsid w:val="20F84AAA"/>
    <w:rsid w:val="2E9D61D5"/>
    <w:rsid w:val="37E67326"/>
    <w:rsid w:val="3DE2471B"/>
    <w:rsid w:val="45362927"/>
    <w:rsid w:val="6B8005EE"/>
    <w:rsid w:val="6C8B2CBF"/>
    <w:rsid w:val="73C84529"/>
    <w:rsid w:val="7E823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885</Words>
  <Characters>902</Characters>
  <Lines>0</Lines>
  <Paragraphs>0</Paragraphs>
  <TotalTime>2</TotalTime>
  <ScaleCrop>false</ScaleCrop>
  <LinksUpToDate>false</LinksUpToDate>
  <CharactersWithSpaces>903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2022-09-20T08:33:00Z</dcterms:created>
  <dc:creator>Administrator</dc:creator>
  <cp:lastModifiedBy>罗仁泽     </cp:lastModifiedBy>
  <dcterms:modified xsi:type="dcterms:W3CDTF">2023-03-03T03:17:30Z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9CB4E6E2F8044A498E26C1AC1FB29FA4</vt:lpwstr>
  </property>
</Properties>
</file>