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</w:rPr>
        <w:t>玉东三小党建经费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为积极支出学校党支部开展各项党支部工作，打牢基层党建工作基础，切实增强基层党组织的战斗力和凝聚力。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主要用于党建的各项活动。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：2022年本单位预算安排玉东三小党建经费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10.7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万元，2022年实际财政资金到位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3.6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万元，资金到位率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33.6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：2022年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党建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经费全部用于对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党建活动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落实工作经费，确保经费保障到位。加强监督检查，提高资金使用效益。定期对工作经费开支情况进行跟踪监督检查，促使经费节约使用，充分发挥资金使用效益。 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各项支出均通过党组织同意，通过相关报账手续后合法支出。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定期对工作经费开支情况进行跟踪监督检查，促使经费节约使用，充分发挥资金使用效益。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20" w:firstLineChars="200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保障基层党组织开展各项党组织活动。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2022年我校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玉东三小党建经费</w:t>
      </w:r>
      <w:r>
        <w:rPr>
          <w:rFonts w:hint="eastAsia" w:eastAsia="仿宋_GB2312"/>
          <w:color w:val="000000"/>
          <w:sz w:val="32"/>
          <w:szCs w:val="32"/>
        </w:rPr>
        <w:t>工作圆满完成，并取得了良好的效果，经逐项自查自评，根据《财政支出绩效评价指标体系》，现对我校党建专项资金绩效评价综合自评分为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93.39</w:t>
      </w:r>
      <w:r>
        <w:rPr>
          <w:rFonts w:hint="eastAsia" w:eastAsia="仿宋_GB2312"/>
          <w:color w:val="000000"/>
          <w:sz w:val="32"/>
          <w:szCs w:val="32"/>
        </w:rPr>
        <w:t>分。</w:t>
      </w: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127B1DB3"/>
    <w:rsid w:val="127B1DB3"/>
    <w:rsid w:val="40E4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561</Characters>
  <Lines>0</Lines>
  <Paragraphs>0</Paragraphs>
  <TotalTime>11</TotalTime>
  <ScaleCrop>false</ScaleCrop>
  <LinksUpToDate>false</LinksUpToDate>
  <CharactersWithSpaces>561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2023-03-08T03:25:00Z</dcterms:created>
  <dc:creator>天然呆</dc:creator>
  <cp:lastModifiedBy>天然呆</cp:lastModifiedBy>
  <dcterms:modified xsi:type="dcterms:W3CDTF">2023-03-09T07:38:47Z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895C1EB4F96D4264AE266BD100A36154</vt:lpwstr>
  </property>
</Properties>
</file>