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茂林镇人民政府2021年乡村振兴工作经费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一、项目基本情况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eastAsia="楷体_GB2312"/>
          <w:b w:val="0"/>
          <w:bCs w:val="0"/>
          <w:sz w:val="32"/>
          <w:szCs w:val="32"/>
        </w:rPr>
        <w:t>（一）项目立项情况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1.项目立项背景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《玉林市开展社区规范化建设示范点创建活动实施方案》（办发[2014]37号）中“为进一步贯彻落实自治区《关于加强城市社区建设创新社区管理服务的意见》（桂办发〔2013〕16号）和市委、市政府《关于加强新形势下城乡社区建设的实施意见》（玉办发〔2013〕39号）精神，切实做好新时期社区规范化建设工作，不断提升社区管理服务水平，经研究决定，在玉州区、福绵区、玉东新区开展社区规范化建设示范点”创建活动，取得经验后逐步铺开。”与“认真贯彻落实党的十八大、十八届三中全会和习近平总书记相关重要讲话精神，以服务居民群众为宗旨，以实现社区规范化建设为目标，以推进社区减负增效为重点，按照科学规划、试点先行、重点突破、逐步铺开的工作思路，进一步强化社区管理服务功能，夯实基层群众自治基础，不断提升社区服务质量和水平，不断提高居民群众满意度和幸福感，为建设和谐美丽新玉林奠定坚实基础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资金用途及目的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资金用途：资金全部用于拨付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茂林镇各社区公共服务中心工程经费，以及各社区公共服务中心基础装饰与文化建设项目、配套设施工程经费；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目的：按照项目进度拨付剩余工程款。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仿宋_GB2312" w:eastAsia="楷体_GB2312" w:cs="宋体"/>
          <w:b w:val="0"/>
          <w:bCs w:val="0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b w:val="0"/>
          <w:bCs w:val="0"/>
          <w:color w:val="000000"/>
          <w:sz w:val="32"/>
          <w:szCs w:val="24"/>
          <w:shd w:val="clear" w:color="auto" w:fill="FFFFFF"/>
        </w:rPr>
        <w:t>（二）项目资金管理使用情况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  <w:t>项目资金安排落实、总投入等情况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年初项目资金总额56.0095万元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（一般预算拨款），已安排落实项目资金拨付44.4633万元。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  <w:t>项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目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  <w:t>资金实际使用情况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项目资金主要用于以下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个项目：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16" w:firstLineChars="200"/>
        <w:jc w:val="both"/>
        <w:textAlignment w:val="auto"/>
        <w:rPr>
          <w:rFonts w:hint="default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）茂林镇社区规范化功能室改造工程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）茂林镇陂石榕楼泉西公共服务中心基础装饰建设与文化建设项目；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）茂林镇和睦社区公共服务中心改造工程、石棠社区居民委员会大楼配套工程、鹿潘社区公共服务中心室外配套工程；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）茂林社区服务中心基础装饰与文化建设项目工程；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）茂林镇茂林社区公共服务中心工程；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6）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茂林镇大芦社区公共服务中心基础装饰与文化建设项目；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16" w:firstLineChars="200"/>
        <w:jc w:val="both"/>
        <w:textAlignment w:val="auto"/>
        <w:rPr>
          <w:rFonts w:hint="default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）茂林镇茂林社区公共服务中心配套设施工程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  <w:t>3.项目资金管理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  <w:t>及支出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</w:rPr>
        <w:t>情况</w:t>
      </w:r>
      <w:r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严格执行项目资金管理制度、办法，项目资金专款专用，项目业主根据工程进度情况提出拨款申请，我镇根据提交的申请材料向玉东新区管理委员会办公室打经费请示，经审核后，依据区管委批复精神及资金拨付程序，拨付工程进度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（三）</w:t>
      </w:r>
      <w:r>
        <w:rPr>
          <w:rFonts w:hint="eastAsia" w:ascii="楷体_GB2312" w:eastAsia="楷体_GB2312"/>
          <w:b w:val="0"/>
          <w:bCs w:val="0"/>
          <w:sz w:val="32"/>
          <w:szCs w:val="32"/>
        </w:rPr>
        <w:t>年初绩效目标及其衡量指标设定情况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1.产出指标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（1）数量指标：拨项目工程款项≥5个。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（2）质量指标：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符合验收标准并正常投入使用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达到100%。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（3）时效指标：完成时间为2019年12月；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资金到位率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达到100%。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（4）成本指标：拨付项目经费56.0095万元。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2.效益指标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（1）社会效益：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提高全民文化素质、提升城市品味、增强社区居民的归属感和向心力以及塑造良好的人文氛围等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（2）可持续影响指标：提高社区居民精神生活、维系社区良好的人际关系、提高生活环境空间质量。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3.服务对象满意度指标:社区群众对社区规范化建设，服务群众的满意度≥95%。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eastAsia="楷体_GB2312"/>
          <w:b w:val="0"/>
          <w:bCs w:val="0"/>
          <w:color w:val="auto"/>
          <w:sz w:val="32"/>
          <w:szCs w:val="32"/>
        </w:rPr>
        <w:t>（四）项目组织管理情况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</w:rPr>
        <w:t>1.项目组织情况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我镇高度重视，主要领导亲自部署，分管领导主抓落实，组织专门的业务人员人员跟进项目和资金的落实，并依照计划进度组织做好项目的规划设计、招投标、施工、竣工验收、资金等管理工作。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</w:rPr>
        <w:t>2.项目管理情况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 w:val="0"/>
          <w:bCs w:val="0"/>
          <w:color w:val="FF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24"/>
          <w:shd w:val="clear" w:color="auto" w:fill="FFFFFF"/>
          <w:lang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到工程现场对项目建设情况进行检查和监督，及时协调困难和问题，保证工程质量，确保项目建设顺利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  <w:t>二、项目评价工作开展情况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  <w:t>（一）评价指标构建情况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根据项目资金投入落实情况、项目审核情况、项目效益、群众满意度情况来评价。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  <w:lang w:eastAsia="zh-CN"/>
        </w:rPr>
        <w:t>（二）</w:t>
      </w:r>
      <w:r>
        <w:rPr>
          <w:rFonts w:hint="eastAsia" w:ascii="楷体_GB2312" w:hAnsi="仿宋_GB2312" w:eastAsia="楷体_GB2312"/>
          <w:b w:val="0"/>
          <w:bCs w:val="0"/>
          <w:i w:val="0"/>
          <w:iCs w:val="0"/>
          <w:sz w:val="32"/>
          <w:szCs w:val="32"/>
        </w:rPr>
        <w:t>评价组织实施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按照既定的绩效目标，组织人员对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项目完成情况进行评价，结合年度项目资金落实实际情况，并查阅项目材料，对各项指标进行评分。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在各社区建设了公共服务中心工程、配套设施工程、基础装饰与文化建设工程。各社区公共服务中心均已完成改造，并根据项目进度拨付完成所有符合条件的工程款项，顺利推进项目建设完成。加强基础设施建设，将各部门资源整合，增强社区服务功能，完善信息服务平台，健全运行机制，加强干部队伍建设，努力建设新型规范化社区，提升社区管理和服务水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提高社区居民精神生活，增强社区居民的归属感和向心力以及塑造良好的人文氛围，维系社区良好的人际关系、提高生活环境空间质量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  <w:lang w:eastAsia="zh-CN"/>
        </w:rPr>
        <w:t>四、存在问题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项目审核流程耗时较长，导致部分工程内容在现场勘查时找不到施工依据，项目结算核减金额较多，与施工方未达成一致意见，影响后续进度。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i w:val="0"/>
          <w:iCs w:val="0"/>
          <w:sz w:val="32"/>
          <w:szCs w:val="32"/>
        </w:rPr>
        <w:t>五、工作改进建议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加快项目资金拨付进度，提高项目经费使用效率，建立长效管理机制，加强监管，妥善保存项目建设过程中的各项材料，加强与施工方沟通协调，争取解决难题，以便做好后续审核及拨付工程款的工作。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/>
    <w:sectPr>
      <w:footerReference r:id="rId3" w:type="default"/>
      <w:pgSz w:w="11906" w:h="16838"/>
      <w:pgMar w:top="2098" w:right="1531" w:bottom="1984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 w:leftChars="200" w:right="420" w:rightChars="200"/>
      <w:rPr>
        <w:rStyle w:val="6"/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ind w:left="420" w:leftChars="200" w:right="420" w:rightChars="200"/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IPqJp1AAAAAgBAAAPAAAAAAAAAAEAIAAAACIAAABkcnMvZG93bnJl&#10;di54bWxQSwECFAAUAAAACACHTuJA5KL+z8gBAACZAwAADgAAAAAAAAABACAAAAAj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left="420" w:leftChars="200" w:right="420" w:rightChars="200"/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2725352A"/>
    <w:rsid w:val="2725352A"/>
    <w:rsid w:val="4D5A197A"/>
    <w:rsid w:val="53B1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1931</Words>
  <Characters>1989</Characters>
  <Lines>0</Lines>
  <Paragraphs>0</Paragraphs>
  <TotalTime>24</TotalTime>
  <ScaleCrop>false</ScaleCrop>
  <LinksUpToDate>false</LinksUpToDate>
  <CharactersWithSpaces>1990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2022-09-14T08:03:00Z</dcterms:created>
  <dc:creator>刘彦</dc:creator>
  <cp:lastModifiedBy>刘彦</cp:lastModifiedBy>
  <dcterms:modified xsi:type="dcterms:W3CDTF">2022-09-19T07:50:08Z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83CEFDBAB443478DAE1BFC95E92FDA03</vt:lpwstr>
  </property>
</Properties>
</file>