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0BAD1">
      <w:pPr>
        <w:tabs>
          <w:tab w:val="right" w:pos="8902"/>
        </w:tabs>
        <w:spacing w:line="600" w:lineRule="exact"/>
        <w:rPr>
          <w:rFonts w:eastAsia="仿宋_GB2312"/>
          <w:sz w:val="32"/>
          <w:szCs w:val="32"/>
        </w:rPr>
      </w:pPr>
      <w:r>
        <w:pict>
          <v:shape id="Object 17" o:spid="_x0000_s1027" o:spt="75" type="#_x0000_t75" style="position:absolute;left:0pt;margin-left:0pt;margin-top:-7pt;height:48pt;width:441.75pt;z-index:-251657216;mso-width-relative:page;mso-height-relative:page;" o:ole="t" filled="f" o:preferrelative="t" stroked="f" coordsize="21600,21600">
            <v:path/>
            <v:fill on="f" focussize="0,0"/>
            <v:stroke on="f" joinstyle="miter"/>
            <v:imagedata r:id="rId7" o:title=""/>
            <o:lock v:ext="edit" aspectratio="t"/>
          </v:shape>
          <o:OLEObject Type="Embed" ProgID="Unknown" ShapeID="Object 17" DrawAspect="Content" ObjectID="_1468075725" r:id="rId6">
            <o:LockedField>false</o:LockedField>
          </o:OLEObject>
        </w:pict>
      </w:r>
      <w:r>
        <w:rPr>
          <w:rFonts w:eastAsia="仿宋_GB2312"/>
          <w:sz w:val="32"/>
          <w:szCs w:val="32"/>
        </w:rPr>
        <w:tab/>
      </w:r>
      <w:r>
        <w:rPr>
          <w:rFonts w:eastAsia="仿宋_GB2312"/>
          <w:sz w:val="32"/>
          <w:szCs w:val="32"/>
        </w:rPr>
        <w:tab/>
      </w:r>
    </w:p>
    <w:p w14:paraId="0B39F1C3">
      <w:pPr>
        <w:spacing w:line="600" w:lineRule="exact"/>
        <w:rPr>
          <w:rFonts w:ascii="仿宋_GB2312" w:hAnsi="仿宋_GB2312" w:eastAsia="仿宋_GB2312" w:cs="仿宋_GB2312"/>
          <w:sz w:val="32"/>
          <w:szCs w:val="32"/>
        </w:rPr>
      </w:pPr>
    </w:p>
    <w:p w14:paraId="31C8137B">
      <w:pPr>
        <w:spacing w:line="600" w:lineRule="exact"/>
        <w:jc w:val="center"/>
        <w:rPr>
          <w:rFonts w:ascii="方正小标宋简体" w:hAnsi="方正小标宋简体" w:eastAsia="方正小标宋简体" w:cs="方正小标宋简体"/>
          <w:sz w:val="44"/>
          <w:szCs w:val="44"/>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玉区政办函〔</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号</w:t>
      </w:r>
    </w:p>
    <w:p w14:paraId="05510F6D">
      <w:pPr>
        <w:spacing w:line="600" w:lineRule="exact"/>
        <w:textAlignment w:val="baseline"/>
        <w:rPr>
          <w:rFonts w:ascii="方正小标宋简体" w:hAnsi="方正小标宋_GBK" w:eastAsia="方正小标宋简体" w:cs="方正小标宋_GBK"/>
          <w:sz w:val="44"/>
          <w:szCs w:val="44"/>
        </w:rPr>
      </w:pPr>
    </w:p>
    <w:p w14:paraId="78E78FCD">
      <w:pPr>
        <w:spacing w:line="600" w:lineRule="exact"/>
        <w:jc w:val="center"/>
        <w:textAlignment w:val="baseline"/>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玉林市玉州区人民政府办公室</w:t>
      </w:r>
    </w:p>
    <w:p w14:paraId="2D0240EE">
      <w:pPr>
        <w:spacing w:line="600" w:lineRule="exact"/>
        <w:jc w:val="center"/>
        <w:textAlignment w:val="baseline"/>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关于印发《</w:t>
      </w:r>
      <w:r>
        <w:rPr>
          <w:rFonts w:hint="eastAsia" w:ascii="方正小标宋简体" w:hAnsi="方正小标宋简体" w:eastAsia="方正小标宋简体" w:cs="方正小标宋简体"/>
          <w:sz w:val="44"/>
          <w:szCs w:val="44"/>
        </w:rPr>
        <w:t>玉州区</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年稻谷补贴粮食收购</w:t>
      </w:r>
    </w:p>
    <w:p w14:paraId="7F9D25EA">
      <w:pPr>
        <w:spacing w:line="600" w:lineRule="exact"/>
        <w:jc w:val="center"/>
        <w:textAlignment w:val="baseline"/>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实施方案</w:t>
      </w:r>
      <w:r>
        <w:rPr>
          <w:rFonts w:hint="eastAsia" w:ascii="方正小标宋简体" w:eastAsia="方正小标宋简体"/>
          <w:sz w:val="44"/>
          <w:szCs w:val="44"/>
        </w:rPr>
        <w:t>》的通知</w:t>
      </w:r>
    </w:p>
    <w:p w14:paraId="79AAB5A5">
      <w:pPr>
        <w:spacing w:line="600" w:lineRule="exact"/>
        <w:rPr>
          <w:rFonts w:ascii="仿宋_GB2312" w:eastAsia="仿宋_GB2312"/>
          <w:sz w:val="32"/>
          <w:szCs w:val="32"/>
        </w:rPr>
      </w:pPr>
    </w:p>
    <w:p w14:paraId="4DDE7FBD">
      <w:pPr>
        <w:spacing w:line="600" w:lineRule="exact"/>
        <w:rPr>
          <w:rFonts w:ascii="仿宋_GB2312" w:eastAsia="仿宋_GB2312"/>
          <w:sz w:val="32"/>
          <w:szCs w:val="32"/>
        </w:rPr>
      </w:pPr>
      <w:r>
        <w:rPr>
          <w:rFonts w:hint="eastAsia" w:ascii="仿宋_GB2312" w:eastAsia="仿宋_GB2312" w:cs="仿宋_GB2312"/>
          <w:sz w:val="32"/>
          <w:szCs w:val="32"/>
        </w:rPr>
        <w:t>各镇（街道）人民政府（办事处），区政府各办局，工业集中区管委会</w:t>
      </w:r>
      <w:r>
        <w:rPr>
          <w:rFonts w:ascii="仿宋_GB2312" w:eastAsia="仿宋_GB2312" w:cs="仿宋_GB2312"/>
          <w:sz w:val="32"/>
          <w:szCs w:val="32"/>
        </w:rPr>
        <w:t>:</w:t>
      </w:r>
    </w:p>
    <w:p w14:paraId="11316E4C">
      <w:pPr>
        <w:spacing w:line="600" w:lineRule="exact"/>
        <w:ind w:firstLine="645"/>
        <w:rPr>
          <w:rFonts w:ascii="仿宋_GB2312" w:eastAsia="仿宋_GB2312"/>
          <w:sz w:val="32"/>
          <w:szCs w:val="32"/>
        </w:rPr>
      </w:pPr>
      <w:r>
        <w:rPr>
          <w:rFonts w:hint="eastAsia" w:ascii="仿宋_GB2312" w:eastAsia="仿宋_GB2312"/>
          <w:sz w:val="32"/>
          <w:szCs w:val="32"/>
        </w:rPr>
        <w:t>根据广西壮族自治区财政厅、广西壮族自治区发展和改革委员会、广西壮族自治区农业农村厅、广西壮族自治区粮食和物资储备局、中国农业发展银行广西壮族自治区分行</w:t>
      </w:r>
      <w:r>
        <w:rPr>
          <w:rFonts w:ascii="仿宋_GB2312" w:hAnsi="宋体" w:eastAsia="仿宋_GB2312"/>
          <w:sz w:val="32"/>
          <w:szCs w:val="32"/>
        </w:rPr>
        <w:t>5</w:t>
      </w:r>
      <w:r>
        <w:rPr>
          <w:rFonts w:hint="eastAsia" w:ascii="仿宋_GB2312" w:hAnsi="宋体" w:eastAsia="仿宋_GB2312"/>
          <w:sz w:val="32"/>
          <w:szCs w:val="32"/>
        </w:rPr>
        <w:t>部门《关于印发</w:t>
      </w:r>
      <w:r>
        <w:rPr>
          <w:rFonts w:ascii="仿宋_GB2312" w:hAnsi="宋体" w:eastAsia="仿宋_GB2312"/>
          <w:sz w:val="32"/>
          <w:szCs w:val="32"/>
        </w:rPr>
        <w:t>2023</w:t>
      </w:r>
      <w:r>
        <w:rPr>
          <w:rFonts w:hint="eastAsia" w:ascii="仿宋_GB2312" w:hAnsi="宋体" w:eastAsia="仿宋_GB2312"/>
          <w:sz w:val="32"/>
          <w:szCs w:val="32"/>
        </w:rPr>
        <w:t>年稻谷补贴实施方案的通知》（桂财建〔</w:t>
      </w:r>
      <w:r>
        <w:rPr>
          <w:rFonts w:ascii="仿宋_GB2312" w:hAnsi="宋体" w:eastAsia="仿宋_GB2312"/>
          <w:sz w:val="32"/>
          <w:szCs w:val="32"/>
        </w:rPr>
        <w:t>2023</w:t>
      </w:r>
      <w:r>
        <w:rPr>
          <w:rFonts w:hint="eastAsia" w:ascii="仿宋_GB2312" w:hAnsi="宋体" w:eastAsia="仿宋_GB2312"/>
          <w:sz w:val="32"/>
          <w:szCs w:val="32"/>
        </w:rPr>
        <w:t>〕</w:t>
      </w:r>
      <w:r>
        <w:rPr>
          <w:rFonts w:ascii="仿宋_GB2312" w:hAnsi="宋体" w:eastAsia="仿宋_GB2312"/>
          <w:sz w:val="32"/>
          <w:szCs w:val="32"/>
        </w:rPr>
        <w:t>61</w:t>
      </w:r>
      <w:r>
        <w:rPr>
          <w:rFonts w:hint="eastAsia" w:ascii="仿宋_GB2312" w:hAnsi="宋体" w:eastAsia="仿宋_GB2312"/>
          <w:sz w:val="32"/>
          <w:szCs w:val="32"/>
        </w:rPr>
        <w:t>号）等有关规定及</w:t>
      </w:r>
      <w:r>
        <w:rPr>
          <w:rFonts w:hint="eastAsia" w:ascii="仿宋_GB2312" w:eastAsia="仿宋_GB2312"/>
          <w:sz w:val="32"/>
          <w:szCs w:val="32"/>
        </w:rPr>
        <w:t>政策精神，依据我区实际，细化了实施方案，现将《玉州区</w:t>
      </w:r>
      <w:r>
        <w:rPr>
          <w:rFonts w:ascii="仿宋_GB2312" w:eastAsia="仿宋_GB2312"/>
          <w:sz w:val="32"/>
          <w:szCs w:val="32"/>
        </w:rPr>
        <w:t>2023</w:t>
      </w:r>
      <w:r>
        <w:rPr>
          <w:rFonts w:hint="eastAsia" w:ascii="仿宋_GB2312" w:eastAsia="仿宋_GB2312"/>
          <w:sz w:val="32"/>
          <w:szCs w:val="32"/>
        </w:rPr>
        <w:t>年稻谷补贴粮食收购实施方案》印发给你们，请认真贯彻执行。</w:t>
      </w:r>
    </w:p>
    <w:p w14:paraId="36E98001">
      <w:pPr>
        <w:spacing w:line="600" w:lineRule="exact"/>
        <w:rPr>
          <w:rFonts w:ascii="仿宋_GB2312" w:eastAsia="仿宋_GB2312"/>
          <w:sz w:val="32"/>
          <w:szCs w:val="32"/>
        </w:rPr>
      </w:pPr>
    </w:p>
    <w:p w14:paraId="6328C5CD">
      <w:pPr>
        <w:spacing w:line="600" w:lineRule="exact"/>
        <w:ind w:firstLine="645"/>
        <w:rPr>
          <w:rFonts w:ascii="仿宋_GB2312" w:eastAsia="仿宋_GB2312"/>
          <w:sz w:val="32"/>
          <w:szCs w:val="32"/>
        </w:rPr>
      </w:pPr>
    </w:p>
    <w:p w14:paraId="0DF131A5">
      <w:pPr>
        <w:spacing w:line="600" w:lineRule="exact"/>
        <w:ind w:firstLine="645"/>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玉林市玉州区人民政府办公室</w:t>
      </w:r>
    </w:p>
    <w:p w14:paraId="7DBED177">
      <w:pPr>
        <w:spacing w:line="600" w:lineRule="exact"/>
        <w:ind w:firstLine="645"/>
        <w:rPr>
          <w:rFonts w:ascii="仿宋_GB2312" w:eastAsia="仿宋_GB2312"/>
          <w:sz w:val="32"/>
          <w:szCs w:val="32"/>
        </w:rPr>
      </w:pPr>
      <w:r>
        <w:rPr>
          <w:rFonts w:ascii="仿宋_GB2312" w:eastAsia="仿宋_GB2312"/>
          <w:sz w:val="32"/>
          <w:szCs w:val="32"/>
        </w:rPr>
        <w:t xml:space="preserve">                          2023</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7</w:t>
      </w:r>
      <w:r>
        <w:rPr>
          <w:rFonts w:hint="eastAsia" w:ascii="仿宋_GB2312" w:eastAsia="仿宋_GB2312"/>
          <w:sz w:val="32"/>
          <w:szCs w:val="32"/>
        </w:rPr>
        <w:t>日</w:t>
      </w:r>
    </w:p>
    <w:p w14:paraId="70931B65">
      <w:pPr>
        <w:spacing w:line="60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玉州区</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年稻谷补贴粮食收购</w:t>
      </w:r>
    </w:p>
    <w:p w14:paraId="48C8D481">
      <w:pPr>
        <w:spacing w:line="600" w:lineRule="exact"/>
        <w:jc w:val="center"/>
        <w:textAlignment w:val="baseline"/>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实施方案</w:t>
      </w:r>
    </w:p>
    <w:p w14:paraId="75610EA8">
      <w:pPr>
        <w:spacing w:line="600" w:lineRule="exact"/>
        <w:ind w:firstLine="585"/>
        <w:textAlignment w:val="baseline"/>
        <w:rPr>
          <w:rFonts w:eastAsia="黑体"/>
          <w:sz w:val="32"/>
          <w:szCs w:val="32"/>
        </w:rPr>
      </w:pPr>
    </w:p>
    <w:p w14:paraId="1A9F3B55">
      <w:pPr>
        <w:spacing w:line="600" w:lineRule="exact"/>
        <w:ind w:firstLine="640" w:firstLineChars="200"/>
        <w:textAlignment w:val="baseline"/>
        <w:rPr>
          <w:rFonts w:ascii="仿宋_GB2312" w:eastAsia="仿宋_GB2312"/>
          <w:sz w:val="32"/>
          <w:szCs w:val="32"/>
        </w:rPr>
      </w:pPr>
      <w:r>
        <w:rPr>
          <w:rFonts w:hint="eastAsia" w:ascii="仿宋_GB2312" w:eastAsia="仿宋_GB2312"/>
          <w:sz w:val="32"/>
          <w:szCs w:val="32"/>
        </w:rPr>
        <w:t>为支持深化稻谷收储制度和价格形成机制改革，保障农民种粮收益基本稳定，根据广西壮族自治区有关政策文件精神，现制定我区</w:t>
      </w:r>
      <w:r>
        <w:rPr>
          <w:rFonts w:ascii="仿宋_GB2312" w:eastAsia="仿宋_GB2312"/>
          <w:sz w:val="32"/>
          <w:szCs w:val="32"/>
        </w:rPr>
        <w:t>2023</w:t>
      </w:r>
      <w:r>
        <w:rPr>
          <w:rFonts w:hint="eastAsia" w:ascii="仿宋_GB2312" w:eastAsia="仿宋_GB2312"/>
          <w:sz w:val="32"/>
          <w:szCs w:val="32"/>
        </w:rPr>
        <w:t>年稻谷补贴粮食收购实施方案如下。</w:t>
      </w:r>
    </w:p>
    <w:p w14:paraId="0898D585">
      <w:pPr>
        <w:pStyle w:val="18"/>
        <w:shd w:val="clear" w:color="auto" w:fill="auto"/>
        <w:spacing w:before="0" w:line="600" w:lineRule="exact"/>
        <w:ind w:right="400" w:firstLine="640" w:firstLineChars="200"/>
        <w:jc w:val="both"/>
        <w:textAlignment w:val="baseline"/>
        <w:rPr>
          <w:rFonts w:ascii="Times New Roman" w:hAnsi="Times New Roman" w:eastAsia="黑体"/>
          <w:sz w:val="32"/>
          <w:szCs w:val="32"/>
        </w:rPr>
      </w:pPr>
      <w:r>
        <w:rPr>
          <w:rFonts w:hint="eastAsia" w:ascii="Times New Roman" w:hAnsi="Times New Roman" w:eastAsia="黑体"/>
          <w:sz w:val="32"/>
          <w:szCs w:val="32"/>
        </w:rPr>
        <w:t>一、总体要求</w:t>
      </w:r>
    </w:p>
    <w:p w14:paraId="4079A0CA">
      <w:pPr>
        <w:spacing w:line="600" w:lineRule="exact"/>
        <w:ind w:firstLine="640" w:firstLineChars="200"/>
        <w:textAlignment w:val="baseline"/>
        <w:rPr>
          <w:rFonts w:eastAsia="楷体_GB2312"/>
          <w:sz w:val="32"/>
          <w:szCs w:val="32"/>
        </w:rPr>
      </w:pPr>
      <w:r>
        <w:rPr>
          <w:rFonts w:hint="eastAsia" w:eastAsia="楷体_GB2312"/>
          <w:sz w:val="32"/>
          <w:szCs w:val="32"/>
        </w:rPr>
        <w:t>（一）指导思想。</w:t>
      </w:r>
    </w:p>
    <w:p w14:paraId="696BC933">
      <w:pPr>
        <w:pStyle w:val="18"/>
        <w:shd w:val="clear" w:color="auto" w:fill="auto"/>
        <w:spacing w:before="0" w:line="600" w:lineRule="exact"/>
        <w:ind w:left="20" w:right="60" w:firstLine="640" w:firstLineChars="200"/>
        <w:jc w:val="both"/>
        <w:textAlignment w:val="baseline"/>
        <w:rPr>
          <w:rFonts w:ascii="仿宋_GB2312" w:hAnsi="仿宋_GB2312" w:eastAsia="仿宋_GB2312" w:cs="仿宋_GB2312"/>
          <w:sz w:val="32"/>
          <w:szCs w:val="32"/>
        </w:rPr>
      </w:pPr>
      <w:r>
        <w:rPr>
          <w:rFonts w:hint="eastAsia" w:ascii="Times New Roman" w:hAnsi="Times New Roman" w:eastAsia="仿宋_GB2312"/>
          <w:sz w:val="32"/>
          <w:szCs w:val="32"/>
        </w:rPr>
        <w:t>以习近平新时代中国特色社会主义思想为指导，全面贯彻党的二十大、二</w:t>
      </w:r>
      <w:r>
        <w:rPr>
          <w:rFonts w:hint="eastAsia" w:ascii="仿宋_GB2312" w:hAnsi="仿宋_GB2312" w:eastAsia="仿宋_GB2312" w:cs="仿宋_GB2312"/>
          <w:sz w:val="32"/>
          <w:szCs w:val="32"/>
        </w:rPr>
        <w:t>十届一中全会精神</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贯彻落实习近平总书记对粮食安全重要指示，以及对广西“五个更大”重要要求和视察广西“</w:t>
      </w:r>
      <w:r>
        <w:rPr>
          <w:rFonts w:ascii="仿宋_GB2312" w:hAnsi="仿宋_GB2312" w:eastAsia="仿宋_GB2312" w:cs="仿宋_GB2312"/>
          <w:sz w:val="32"/>
          <w:szCs w:val="32"/>
        </w:rPr>
        <w:t>4.27</w:t>
      </w:r>
      <w:r>
        <w:rPr>
          <w:rFonts w:hint="eastAsia" w:ascii="仿宋_GB2312" w:hAnsi="仿宋_GB2312" w:eastAsia="仿宋_GB2312" w:cs="仿宋_GB2312"/>
          <w:sz w:val="32"/>
          <w:szCs w:val="32"/>
        </w:rPr>
        <w:t>”重要讲话精神，严格落实粮食安全党政同责，实施稻谷补贴政策，切实保护好种粮农民利益，更好地保障国家粮食安全。</w:t>
      </w:r>
    </w:p>
    <w:p w14:paraId="6FA637B2">
      <w:pPr>
        <w:spacing w:line="600" w:lineRule="exact"/>
        <w:ind w:firstLine="640" w:firstLineChars="200"/>
        <w:textAlignment w:val="baseline"/>
        <w:rPr>
          <w:rFonts w:eastAsia="楷体_GB2312"/>
          <w:sz w:val="32"/>
          <w:szCs w:val="32"/>
        </w:rPr>
      </w:pPr>
      <w:r>
        <w:rPr>
          <w:rFonts w:hint="eastAsia" w:eastAsia="楷体_GB2312"/>
          <w:sz w:val="32"/>
          <w:szCs w:val="32"/>
        </w:rPr>
        <w:t>（二）基本原则。</w:t>
      </w:r>
    </w:p>
    <w:p w14:paraId="430452DD">
      <w:pPr>
        <w:pStyle w:val="18"/>
        <w:shd w:val="clear" w:color="auto" w:fill="auto"/>
        <w:spacing w:before="0" w:line="60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一是突出稻谷，保障重点。明确稻谷补贴同特定作物稻谷挂钩，与其他涉农补贴相区别，做到专款专用。提高稻谷补贴资金的精准性和指向性，切实稳定我区稻谷生产能力，确保口粮绝对安全。</w:t>
      </w:r>
    </w:p>
    <w:p w14:paraId="7B4AEECF">
      <w:pPr>
        <w:pStyle w:val="18"/>
        <w:shd w:val="clear" w:color="auto" w:fill="auto"/>
        <w:spacing w:before="0" w:line="60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二是加强引导，调整结构。按照粮食</w:t>
      </w:r>
      <w:r>
        <w:rPr>
          <w:rFonts w:hint="eastAsia" w:ascii="仿宋_GB2312" w:hAnsi="仿宋_GB2312" w:eastAsia="仿宋_GB2312" w:cs="仿宋_GB2312"/>
          <w:sz w:val="32"/>
          <w:szCs w:val="32"/>
          <w:u w:val="none"/>
        </w:rPr>
        <w:t>供给侧结构性改革</w:t>
      </w:r>
      <w:r>
        <w:rPr>
          <w:rFonts w:hint="eastAsia" w:ascii="仿宋_GB2312" w:hAnsi="仿宋_GB2312" w:eastAsia="仿宋_GB2312" w:cs="仿宋_GB2312"/>
          <w:sz w:val="32"/>
          <w:szCs w:val="32"/>
        </w:rPr>
        <w:t>要求，补贴资金使用要有利于引导种植结构调整，实施水稻高产攻关行动，促进增加绿色优质稻谷供给。</w:t>
      </w:r>
    </w:p>
    <w:p w14:paraId="6FA93DF9">
      <w:pPr>
        <w:pStyle w:val="18"/>
        <w:shd w:val="clear" w:color="auto" w:fill="auto"/>
        <w:spacing w:before="0" w:line="60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三是政府主导，细化方案。区人民政府是方案的管理主体和实施主体，应依据实际，细化实施方案，确保补贴政策的全面准确贯彻执行，切实让稻谷生产者得益。</w:t>
      </w:r>
    </w:p>
    <w:p w14:paraId="5755D980">
      <w:pPr>
        <w:pStyle w:val="18"/>
        <w:shd w:val="clear" w:color="auto" w:fill="auto"/>
        <w:spacing w:before="0" w:line="600" w:lineRule="exact"/>
        <w:ind w:left="20" w:right="40" w:firstLine="640" w:firstLineChars="200"/>
        <w:jc w:val="both"/>
        <w:textAlignment w:val="baseline"/>
        <w:rPr>
          <w:rFonts w:ascii="Times New Roman" w:hAnsi="Times New Roman" w:eastAsia="黑体"/>
          <w:sz w:val="32"/>
          <w:szCs w:val="32"/>
        </w:rPr>
      </w:pPr>
      <w:r>
        <w:rPr>
          <w:rFonts w:hint="eastAsia" w:ascii="Times New Roman" w:hAnsi="Times New Roman" w:eastAsia="黑体"/>
          <w:sz w:val="32"/>
          <w:szCs w:val="32"/>
        </w:rPr>
        <w:t>二、补贴资金的使用</w:t>
      </w:r>
    </w:p>
    <w:p w14:paraId="30985191">
      <w:pPr>
        <w:pStyle w:val="18"/>
        <w:shd w:val="clear" w:color="auto" w:fill="auto"/>
        <w:spacing w:before="0" w:line="600" w:lineRule="exact"/>
        <w:ind w:left="20" w:firstLine="688" w:firstLineChars="215"/>
        <w:jc w:val="both"/>
        <w:textAlignment w:val="baseline"/>
        <w:rPr>
          <w:rFonts w:ascii="Times New Roman" w:hAnsi="Times New Roman" w:eastAsia="楷体_GB2312"/>
          <w:bCs/>
          <w:sz w:val="32"/>
          <w:szCs w:val="32"/>
        </w:rPr>
      </w:pPr>
      <w:r>
        <w:rPr>
          <w:rFonts w:hint="eastAsia" w:ascii="Times New Roman" w:hAnsi="Times New Roman" w:eastAsia="楷体_GB2312"/>
          <w:bCs/>
          <w:sz w:val="32"/>
          <w:szCs w:val="32"/>
        </w:rPr>
        <w:t>（一）补贴资金来源和用途。</w:t>
      </w:r>
    </w:p>
    <w:p w14:paraId="3AC044EF">
      <w:pPr>
        <w:spacing w:line="600" w:lineRule="exact"/>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sz w:val="32"/>
          <w:szCs w:val="32"/>
        </w:rPr>
        <w:t>中央财政下达的</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年稻谷目标价格补贴资金，其中主要支持</w:t>
      </w:r>
      <w:r>
        <w:rPr>
          <w:rFonts w:hint="eastAsia" w:ascii="仿宋_GB2312" w:hAnsi="仿宋_GB2312" w:eastAsia="仿宋_GB2312" w:cs="仿宋_GB2312"/>
          <w:bCs/>
          <w:kern w:val="0"/>
          <w:sz w:val="32"/>
          <w:szCs w:val="32"/>
        </w:rPr>
        <w:t>稻谷生产者售粮补贴及粮食收购补贴</w:t>
      </w:r>
      <w:r>
        <w:rPr>
          <w:rFonts w:hint="eastAsia" w:ascii="仿宋_GB2312" w:hAnsi="仿宋_GB2312" w:eastAsia="仿宋_GB2312" w:cs="仿宋_GB2312"/>
          <w:bCs/>
          <w:sz w:val="32"/>
          <w:szCs w:val="32"/>
        </w:rPr>
        <w:t>。我区是粮食产销平衡区，为增强政府对粮食市场宏观调控能力，确保粮食安全党政同责得到落实，同时为鼓励和保护农民种粮积极性，确保稻谷生产者真正得到实惠，对交售粮食的稻谷生产者给予售</w:t>
      </w:r>
      <w:bookmarkStart w:id="0" w:name="_GoBack"/>
      <w:bookmarkEnd w:id="0"/>
      <w:r>
        <w:rPr>
          <w:rFonts w:hint="eastAsia" w:ascii="仿宋_GB2312" w:hAnsi="仿宋_GB2312" w:eastAsia="仿宋_GB2312" w:cs="仿宋_GB2312"/>
          <w:bCs/>
          <w:sz w:val="32"/>
          <w:szCs w:val="32"/>
        </w:rPr>
        <w:t>粮补贴（以下简称</w:t>
      </w:r>
      <w:r>
        <w:rPr>
          <w:rFonts w:hint="eastAsia" w:ascii="仿宋_GB2312" w:hAnsi="仿宋_GB2312" w:eastAsia="仿宋_GB2312" w:cs="仿宋_GB2312"/>
          <w:bCs/>
          <w:kern w:val="0"/>
          <w:sz w:val="32"/>
          <w:szCs w:val="32"/>
        </w:rPr>
        <w:t>稻谷生产者售粮补贴</w:t>
      </w:r>
      <w:r>
        <w:rPr>
          <w:rFonts w:hint="eastAsia" w:ascii="仿宋_GB2312" w:hAnsi="仿宋_GB2312" w:eastAsia="仿宋_GB2312" w:cs="仿宋_GB2312"/>
          <w:bCs/>
          <w:sz w:val="32"/>
          <w:szCs w:val="32"/>
        </w:rPr>
        <w:t>），以确保农民增收、农业增效。为确保不出现“卖粮难”问题，对参与粮食收购的相关企业给予一定的收购补贴（以下简称粮食</w:t>
      </w:r>
      <w:r>
        <w:rPr>
          <w:rFonts w:hint="eastAsia" w:ascii="仿宋_GB2312" w:hAnsi="仿宋_GB2312" w:eastAsia="仿宋_GB2312" w:cs="仿宋_GB2312"/>
          <w:bCs/>
          <w:kern w:val="0"/>
          <w:sz w:val="32"/>
          <w:szCs w:val="32"/>
        </w:rPr>
        <w:t>收购补贴</w:t>
      </w:r>
      <w:r>
        <w:rPr>
          <w:rFonts w:hint="eastAsia" w:ascii="仿宋_GB2312" w:hAnsi="仿宋_GB2312" w:eastAsia="仿宋_GB2312" w:cs="仿宋_GB2312"/>
          <w:bCs/>
          <w:sz w:val="32"/>
          <w:szCs w:val="32"/>
        </w:rPr>
        <w:t>），确保粮食储备收购任务的完成。</w:t>
      </w:r>
    </w:p>
    <w:p w14:paraId="6C2DE78A">
      <w:pPr>
        <w:pStyle w:val="18"/>
        <w:shd w:val="clear" w:color="auto" w:fill="auto"/>
        <w:spacing w:before="0" w:line="600" w:lineRule="exact"/>
        <w:ind w:firstLine="640" w:firstLineChars="200"/>
        <w:jc w:val="both"/>
        <w:textAlignment w:val="baseline"/>
        <w:rPr>
          <w:rFonts w:ascii="Times New Roman" w:hAnsi="Times New Roman" w:eastAsia="楷体_GB2312"/>
          <w:bCs/>
          <w:sz w:val="32"/>
          <w:szCs w:val="32"/>
        </w:rPr>
      </w:pPr>
      <w:r>
        <w:rPr>
          <w:rFonts w:hint="eastAsia" w:ascii="Times New Roman" w:hAnsi="Times New Roman" w:eastAsia="楷体_GB2312"/>
          <w:bCs/>
          <w:sz w:val="32"/>
          <w:szCs w:val="32"/>
        </w:rPr>
        <w:t>（二）补贴对象和范围。</w:t>
      </w:r>
    </w:p>
    <w:p w14:paraId="79E5DFAF">
      <w:pPr>
        <w:spacing w:line="600" w:lineRule="exact"/>
        <w:ind w:firstLine="640" w:firstLineChars="200"/>
        <w:textAlignment w:val="baseline"/>
        <w:rPr>
          <w:rFonts w:ascii="仿宋_GB2312" w:eastAsia="仿宋_GB2312"/>
          <w:bCs/>
          <w:kern w:val="0"/>
          <w:sz w:val="32"/>
          <w:szCs w:val="32"/>
          <w:lang w:val="zh-CN"/>
        </w:rPr>
      </w:pPr>
      <w:r>
        <w:rPr>
          <w:rFonts w:ascii="仿宋_GB2312" w:eastAsia="仿宋_GB2312"/>
          <w:bCs/>
          <w:kern w:val="0"/>
          <w:sz w:val="32"/>
          <w:szCs w:val="32"/>
        </w:rPr>
        <w:t>1.</w:t>
      </w:r>
      <w:r>
        <w:rPr>
          <w:rFonts w:hint="eastAsia" w:ascii="仿宋_GB2312" w:eastAsia="仿宋_GB2312"/>
          <w:bCs/>
          <w:kern w:val="0"/>
          <w:sz w:val="32"/>
          <w:szCs w:val="32"/>
        </w:rPr>
        <w:t>稻谷生产者售粮补贴</w:t>
      </w:r>
      <w:r>
        <w:rPr>
          <w:rFonts w:hint="eastAsia" w:ascii="仿宋_GB2312" w:eastAsia="仿宋_GB2312"/>
          <w:bCs/>
          <w:kern w:val="0"/>
          <w:sz w:val="32"/>
          <w:szCs w:val="32"/>
          <w:lang w:val="zh-CN"/>
        </w:rPr>
        <w:t>的范围和对象。</w:t>
      </w:r>
    </w:p>
    <w:p w14:paraId="66639F81">
      <w:pPr>
        <w:spacing w:line="600" w:lineRule="exact"/>
        <w:ind w:firstLine="640" w:firstLineChars="200"/>
        <w:textAlignment w:val="baseline"/>
        <w:rPr>
          <w:rFonts w:ascii="仿宋_GB2312" w:eastAsia="仿宋_GB2312"/>
          <w:bCs/>
          <w:kern w:val="0"/>
          <w:sz w:val="32"/>
          <w:szCs w:val="32"/>
          <w:lang w:val="zh-CN"/>
        </w:rPr>
      </w:pPr>
      <w:r>
        <w:rPr>
          <w:rFonts w:hint="eastAsia" w:ascii="仿宋_GB2312" w:eastAsia="仿宋_GB2312"/>
          <w:bCs/>
          <w:kern w:val="0"/>
          <w:sz w:val="32"/>
          <w:szCs w:val="32"/>
        </w:rPr>
        <w:t>（</w:t>
      </w:r>
      <w:r>
        <w:rPr>
          <w:rFonts w:ascii="仿宋_GB2312" w:eastAsia="仿宋_GB2312"/>
          <w:bCs/>
          <w:kern w:val="0"/>
          <w:sz w:val="32"/>
          <w:szCs w:val="32"/>
        </w:rPr>
        <w:t>1</w:t>
      </w:r>
      <w:r>
        <w:rPr>
          <w:rFonts w:hint="eastAsia" w:ascii="仿宋_GB2312" w:eastAsia="仿宋_GB2312"/>
          <w:bCs/>
          <w:kern w:val="0"/>
          <w:sz w:val="32"/>
          <w:szCs w:val="32"/>
        </w:rPr>
        <w:t>）补贴范围：</w:t>
      </w:r>
      <w:r>
        <w:rPr>
          <w:rFonts w:ascii="仿宋_GB2312" w:eastAsia="仿宋_GB2312"/>
          <w:bCs/>
          <w:kern w:val="0"/>
          <w:sz w:val="32"/>
          <w:szCs w:val="32"/>
          <w:lang w:val="zh-CN"/>
        </w:rPr>
        <w:t>202</w:t>
      </w:r>
      <w:r>
        <w:rPr>
          <w:rFonts w:ascii="仿宋_GB2312" w:eastAsia="仿宋_GB2312"/>
          <w:bCs/>
          <w:kern w:val="0"/>
          <w:sz w:val="32"/>
          <w:szCs w:val="32"/>
        </w:rPr>
        <w:t>3</w:t>
      </w:r>
      <w:r>
        <w:rPr>
          <w:rFonts w:hint="eastAsia" w:ascii="仿宋_GB2312" w:eastAsia="仿宋_GB2312"/>
          <w:bCs/>
          <w:kern w:val="0"/>
          <w:sz w:val="32"/>
          <w:szCs w:val="32"/>
          <w:lang w:val="zh-CN"/>
        </w:rPr>
        <w:t>年在我区进行粮食收购的</w:t>
      </w:r>
      <w:r>
        <w:rPr>
          <w:rFonts w:ascii="仿宋_GB2312" w:eastAsia="仿宋_GB2312"/>
          <w:bCs/>
          <w:kern w:val="0"/>
          <w:sz w:val="32"/>
          <w:szCs w:val="32"/>
          <w:lang w:val="zh-CN"/>
        </w:rPr>
        <w:t>8</w:t>
      </w:r>
      <w:r>
        <w:rPr>
          <w:rFonts w:hint="eastAsia" w:ascii="仿宋_GB2312" w:eastAsia="仿宋_GB2312"/>
          <w:bCs/>
          <w:kern w:val="0"/>
          <w:sz w:val="32"/>
          <w:szCs w:val="32"/>
          <w:lang w:val="zh-CN"/>
        </w:rPr>
        <w:t>个镇（街道）（含茂林镇）。</w:t>
      </w:r>
    </w:p>
    <w:p w14:paraId="76EE42BB">
      <w:pPr>
        <w:spacing w:line="600" w:lineRule="exact"/>
        <w:ind w:firstLine="640" w:firstLineChars="200"/>
        <w:textAlignment w:val="baseline"/>
        <w:rPr>
          <w:rFonts w:ascii="仿宋_GB2312" w:eastAsia="仿宋_GB2312"/>
          <w:bCs/>
          <w:kern w:val="0"/>
          <w:sz w:val="32"/>
          <w:szCs w:val="32"/>
        </w:rPr>
      </w:pPr>
      <w:r>
        <w:rPr>
          <w:rFonts w:hint="eastAsia" w:ascii="仿宋_GB2312" w:eastAsia="仿宋_GB2312"/>
          <w:bCs/>
          <w:kern w:val="0"/>
          <w:sz w:val="32"/>
          <w:szCs w:val="32"/>
        </w:rPr>
        <w:t>（</w:t>
      </w:r>
      <w:r>
        <w:rPr>
          <w:rFonts w:ascii="仿宋_GB2312" w:eastAsia="仿宋_GB2312"/>
          <w:bCs/>
          <w:kern w:val="0"/>
          <w:sz w:val="32"/>
          <w:szCs w:val="32"/>
        </w:rPr>
        <w:t>2</w:t>
      </w:r>
      <w:r>
        <w:rPr>
          <w:rFonts w:hint="eastAsia" w:ascii="仿宋_GB2312" w:eastAsia="仿宋_GB2312"/>
          <w:bCs/>
          <w:kern w:val="0"/>
          <w:sz w:val="32"/>
          <w:szCs w:val="32"/>
        </w:rPr>
        <w:t>）补贴对象：</w:t>
      </w:r>
    </w:p>
    <w:p w14:paraId="51AD80CA">
      <w:pPr>
        <w:spacing w:line="600" w:lineRule="exact"/>
        <w:ind w:firstLine="640" w:firstLineChars="200"/>
        <w:textAlignment w:val="baseline"/>
        <w:rPr>
          <w:rFonts w:eastAsia="仿宋_GB2312"/>
          <w:bCs/>
          <w:sz w:val="32"/>
          <w:szCs w:val="32"/>
        </w:rPr>
      </w:pPr>
      <w:r>
        <w:rPr>
          <w:rFonts w:hint="eastAsia" w:eastAsia="仿宋_GB2312"/>
          <w:bCs/>
          <w:kern w:val="0"/>
          <w:sz w:val="32"/>
          <w:szCs w:val="32"/>
        </w:rPr>
        <w:t>我区从事稻谷生产，按照粮食收购计划自主售粮或委托售卖稻谷给粮食收购企业的稻谷生产者（含农户、家庭农场、专业大户、农民合作社、</w:t>
      </w:r>
      <w:r>
        <w:rPr>
          <w:rFonts w:hint="eastAsia" w:eastAsia="仿宋_GB2312"/>
          <w:sz w:val="32"/>
          <w:szCs w:val="32"/>
        </w:rPr>
        <w:t>粮食产后服务中心、农业企业</w:t>
      </w:r>
      <w:r>
        <w:rPr>
          <w:rFonts w:hint="eastAsia" w:eastAsia="仿宋_GB2312"/>
          <w:bCs/>
          <w:kern w:val="0"/>
          <w:sz w:val="32"/>
          <w:szCs w:val="32"/>
        </w:rPr>
        <w:t>等种粮主体</w:t>
      </w:r>
      <w:r>
        <w:rPr>
          <w:rFonts w:hint="eastAsia" w:eastAsia="仿宋_GB2312"/>
          <w:sz w:val="32"/>
          <w:szCs w:val="32"/>
        </w:rPr>
        <w:t>，下同</w:t>
      </w:r>
      <w:r>
        <w:rPr>
          <w:rFonts w:hint="eastAsia" w:eastAsia="仿宋_GB2312"/>
          <w:bCs/>
          <w:kern w:val="0"/>
          <w:sz w:val="32"/>
          <w:szCs w:val="32"/>
        </w:rPr>
        <w:t>）。</w:t>
      </w:r>
      <w:r>
        <w:rPr>
          <w:rFonts w:hint="eastAsia" w:eastAsia="仿宋_GB2312"/>
          <w:sz w:val="32"/>
          <w:szCs w:val="32"/>
        </w:rPr>
        <w:t>个体经纪人、家庭农场、农民合作社、粮食产后服务中心、农业企业等仅开展代售粮食服务的经营主体，不属于补贴对象。</w:t>
      </w:r>
    </w:p>
    <w:p w14:paraId="63DB0978">
      <w:pPr>
        <w:spacing w:line="600" w:lineRule="exact"/>
        <w:ind w:firstLine="640"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粮食收购补贴的范围和对象。</w:t>
      </w:r>
    </w:p>
    <w:p w14:paraId="45522FCD">
      <w:pPr>
        <w:spacing w:line="600" w:lineRule="exact"/>
        <w:ind w:firstLine="640" w:firstLineChars="200"/>
        <w:textAlignment w:val="baseline"/>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）补贴范围：</w:t>
      </w:r>
      <w:r>
        <w:rPr>
          <w:rFonts w:ascii="仿宋_GB2312" w:eastAsia="仿宋_GB2312"/>
          <w:sz w:val="32"/>
          <w:szCs w:val="32"/>
        </w:rPr>
        <w:t>2023</w:t>
      </w:r>
      <w:r>
        <w:rPr>
          <w:rFonts w:hint="eastAsia" w:ascii="仿宋_GB2312" w:eastAsia="仿宋_GB2312"/>
          <w:sz w:val="32"/>
          <w:szCs w:val="32"/>
        </w:rPr>
        <w:t>年在我区实施普通籼稻</w:t>
      </w:r>
      <w:r>
        <w:rPr>
          <w:rFonts w:hint="eastAsia" w:eastAsia="仿宋_GB2312"/>
          <w:sz w:val="32"/>
          <w:szCs w:val="32"/>
        </w:rPr>
        <w:t>（含普通中、晚籼稻，下同</w:t>
      </w:r>
      <w:r>
        <w:rPr>
          <w:rFonts w:hint="eastAsia" w:ascii="仿宋_GB2312" w:eastAsia="仿宋_GB2312"/>
          <w:sz w:val="32"/>
          <w:szCs w:val="32"/>
        </w:rPr>
        <w:t>）收购工作的</w:t>
      </w:r>
      <w:r>
        <w:rPr>
          <w:rFonts w:ascii="仿宋_GB2312" w:eastAsia="仿宋_GB2312"/>
          <w:sz w:val="32"/>
          <w:szCs w:val="32"/>
        </w:rPr>
        <w:t>8</w:t>
      </w:r>
      <w:r>
        <w:rPr>
          <w:rFonts w:hint="eastAsia" w:ascii="仿宋_GB2312" w:eastAsia="仿宋_GB2312"/>
          <w:sz w:val="32"/>
          <w:szCs w:val="32"/>
        </w:rPr>
        <w:t>个镇（街道）（含茂林镇）。</w:t>
      </w:r>
    </w:p>
    <w:p w14:paraId="055D5596">
      <w:pPr>
        <w:spacing w:line="600" w:lineRule="exact"/>
        <w:ind w:firstLine="640" w:firstLineChars="200"/>
        <w:textAlignment w:val="baseline"/>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）补贴对象：辖区内开展稻谷补贴普通籼稻收购工作的粮食收购企业。</w:t>
      </w:r>
    </w:p>
    <w:p w14:paraId="54AB920B">
      <w:pPr>
        <w:pStyle w:val="18"/>
        <w:shd w:val="clear" w:color="auto" w:fill="auto"/>
        <w:spacing w:before="0" w:line="600" w:lineRule="exact"/>
        <w:ind w:left="20" w:firstLine="688" w:firstLineChars="215"/>
        <w:jc w:val="both"/>
        <w:textAlignment w:val="baseline"/>
        <w:rPr>
          <w:rFonts w:ascii="Times New Roman" w:hAnsi="Times New Roman" w:eastAsia="楷体_GB2312"/>
          <w:bCs/>
          <w:sz w:val="32"/>
          <w:szCs w:val="32"/>
        </w:rPr>
      </w:pPr>
      <w:r>
        <w:rPr>
          <w:rFonts w:hint="eastAsia" w:ascii="Times New Roman" w:hAnsi="Times New Roman" w:eastAsia="楷体_GB2312"/>
          <w:bCs/>
          <w:sz w:val="32"/>
          <w:szCs w:val="32"/>
        </w:rPr>
        <w:t>（三）补贴标准。</w:t>
      </w:r>
    </w:p>
    <w:p w14:paraId="6140431B">
      <w:pPr>
        <w:spacing w:line="600" w:lineRule="exact"/>
        <w:ind w:firstLine="656" w:firstLineChars="205"/>
        <w:textAlignment w:val="baseline"/>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稻谷生产者售粮补贴标准。普通籼稻每公斤补贴</w:t>
      </w:r>
      <w:r>
        <w:rPr>
          <w:rFonts w:ascii="仿宋_GB2312" w:hAnsi="仿宋_GB2312" w:eastAsia="仿宋_GB2312" w:cs="仿宋_GB2312"/>
          <w:bCs/>
          <w:sz w:val="32"/>
          <w:szCs w:val="32"/>
        </w:rPr>
        <w:t>0.28</w:t>
      </w:r>
      <w:r>
        <w:rPr>
          <w:rFonts w:hint="eastAsia" w:ascii="仿宋_GB2312" w:hAnsi="仿宋_GB2312" w:eastAsia="仿宋_GB2312" w:cs="仿宋_GB2312"/>
          <w:bCs/>
          <w:sz w:val="32"/>
          <w:szCs w:val="32"/>
        </w:rPr>
        <w:t>元；优质稻每公斤补贴</w:t>
      </w:r>
      <w:r>
        <w:rPr>
          <w:rFonts w:ascii="仿宋_GB2312" w:hAnsi="仿宋_GB2312" w:eastAsia="仿宋_GB2312" w:cs="仿宋_GB2312"/>
          <w:bCs/>
          <w:sz w:val="32"/>
          <w:szCs w:val="32"/>
        </w:rPr>
        <w:t>0.4</w:t>
      </w:r>
      <w:r>
        <w:rPr>
          <w:rFonts w:hint="eastAsia" w:ascii="仿宋_GB2312" w:hAnsi="仿宋_GB2312" w:eastAsia="仿宋_GB2312" w:cs="仿宋_GB2312"/>
          <w:bCs/>
          <w:sz w:val="32"/>
          <w:szCs w:val="32"/>
        </w:rPr>
        <w:t>元。</w:t>
      </w:r>
    </w:p>
    <w:p w14:paraId="2ED7D28B">
      <w:pPr>
        <w:spacing w:line="600" w:lineRule="exact"/>
        <w:ind w:firstLine="643" w:firstLineChars="201"/>
        <w:textAlignment w:val="baseline"/>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粮食收购补贴标准。按照中央完善稻谷补贴政策，支持发展早稻生产的精神，自治区安排了</w:t>
      </w:r>
      <w:r>
        <w:rPr>
          <w:rFonts w:ascii="仿宋_GB2312" w:hAnsi="仿宋_GB2312" w:eastAsia="仿宋_GB2312" w:cs="仿宋_GB2312"/>
          <w:bCs/>
          <w:sz w:val="32"/>
          <w:szCs w:val="32"/>
        </w:rPr>
        <w:t>2400</w:t>
      </w:r>
      <w:r>
        <w:rPr>
          <w:rFonts w:hint="eastAsia" w:ascii="仿宋_GB2312" w:hAnsi="仿宋_GB2312" w:eastAsia="仿宋_GB2312" w:cs="仿宋_GB2312"/>
          <w:bCs/>
          <w:sz w:val="32"/>
          <w:szCs w:val="32"/>
        </w:rPr>
        <w:t>万元用于普通籼稻的相关收购补贴。具体补贴按实际收购转储数量由广西壮族自治区储备粮管理集团有限公司（以下简称自治区储备粮集团公司）审核上报自治区财政厅、粮食和储备局后核拨。</w:t>
      </w:r>
    </w:p>
    <w:p w14:paraId="60FF287A">
      <w:pPr>
        <w:spacing w:line="600" w:lineRule="exact"/>
        <w:ind w:firstLine="640" w:firstLineChars="200"/>
        <w:textAlignment w:val="baseline"/>
        <w:rPr>
          <w:rFonts w:eastAsia="楷体_GB2312"/>
          <w:sz w:val="32"/>
          <w:szCs w:val="32"/>
        </w:rPr>
      </w:pPr>
      <w:r>
        <w:rPr>
          <w:rFonts w:hint="eastAsia" w:eastAsia="楷体_GB2312"/>
          <w:sz w:val="32"/>
          <w:szCs w:val="32"/>
        </w:rPr>
        <w:t>（四）目标任务。</w:t>
      </w:r>
    </w:p>
    <w:p w14:paraId="1FC95A22">
      <w:pPr>
        <w:spacing w:line="600" w:lineRule="exact"/>
        <w:ind w:firstLine="640" w:firstLineChars="200"/>
        <w:textAlignment w:val="baseline"/>
        <w:rPr>
          <w:rFonts w:ascii="仿宋_GB2312" w:eastAsia="仿宋_GB2312"/>
          <w:sz w:val="32"/>
          <w:szCs w:val="32"/>
        </w:rPr>
      </w:pPr>
      <w:r>
        <w:rPr>
          <w:rFonts w:hint="eastAsia" w:ascii="仿宋_GB2312" w:eastAsia="仿宋_GB2312"/>
          <w:kern w:val="0"/>
          <w:sz w:val="32"/>
          <w:szCs w:val="32"/>
        </w:rPr>
        <w:t>稻谷生产者售粮补贴及粮食收购补贴</w:t>
      </w:r>
      <w:r>
        <w:rPr>
          <w:rFonts w:hint="eastAsia" w:ascii="仿宋_GB2312" w:eastAsia="仿宋_GB2312"/>
          <w:sz w:val="32"/>
          <w:szCs w:val="32"/>
        </w:rPr>
        <w:t>目标任务。</w:t>
      </w:r>
      <w:r>
        <w:rPr>
          <w:rFonts w:ascii="仿宋_GB2312" w:eastAsia="仿宋_GB2312"/>
          <w:sz w:val="32"/>
          <w:szCs w:val="32"/>
        </w:rPr>
        <w:t>2023</w:t>
      </w:r>
      <w:r>
        <w:rPr>
          <w:rFonts w:hint="eastAsia" w:ascii="仿宋_GB2312" w:eastAsia="仿宋_GB2312"/>
          <w:sz w:val="32"/>
          <w:szCs w:val="32"/>
        </w:rPr>
        <w:t>年粮食收购总量为</w:t>
      </w:r>
      <w:r>
        <w:rPr>
          <w:rFonts w:ascii="仿宋_GB2312" w:eastAsia="仿宋_GB2312"/>
          <w:sz w:val="32"/>
          <w:szCs w:val="32"/>
        </w:rPr>
        <w:t>2500</w:t>
      </w:r>
      <w:r>
        <w:rPr>
          <w:rFonts w:hint="eastAsia" w:ascii="仿宋_GB2312" w:eastAsia="仿宋_GB2312"/>
          <w:sz w:val="32"/>
          <w:szCs w:val="32"/>
        </w:rPr>
        <w:t>吨，其中：普通籼稻</w:t>
      </w:r>
      <w:r>
        <w:rPr>
          <w:rFonts w:ascii="仿宋_GB2312" w:eastAsia="仿宋_GB2312"/>
          <w:sz w:val="32"/>
          <w:szCs w:val="32"/>
        </w:rPr>
        <w:t>1500</w:t>
      </w:r>
      <w:r>
        <w:rPr>
          <w:rFonts w:hint="eastAsia" w:ascii="仿宋_GB2312" w:eastAsia="仿宋_GB2312"/>
          <w:sz w:val="32"/>
          <w:szCs w:val="32"/>
        </w:rPr>
        <w:t>吨，优质稻</w:t>
      </w:r>
      <w:r>
        <w:rPr>
          <w:rFonts w:ascii="仿宋_GB2312" w:eastAsia="仿宋_GB2312"/>
          <w:sz w:val="32"/>
          <w:szCs w:val="32"/>
        </w:rPr>
        <w:t>1000</w:t>
      </w:r>
      <w:r>
        <w:rPr>
          <w:rFonts w:hint="eastAsia" w:ascii="仿宋_GB2312" w:eastAsia="仿宋_GB2312"/>
          <w:sz w:val="32"/>
          <w:szCs w:val="32"/>
        </w:rPr>
        <w:t>吨（含专用稻）。</w:t>
      </w:r>
    </w:p>
    <w:p w14:paraId="6DBA0893">
      <w:pPr>
        <w:spacing w:line="600" w:lineRule="exact"/>
        <w:ind w:firstLine="640" w:firstLineChars="200"/>
        <w:textAlignment w:val="baseline"/>
        <w:rPr>
          <w:rFonts w:eastAsia="楷体_GB2312"/>
          <w:sz w:val="32"/>
          <w:szCs w:val="32"/>
        </w:rPr>
      </w:pPr>
      <w:r>
        <w:rPr>
          <w:rFonts w:hint="eastAsia" w:eastAsia="楷体_GB2312"/>
          <w:sz w:val="32"/>
          <w:szCs w:val="32"/>
        </w:rPr>
        <w:t>（五）补贴资金的下达和兑现。</w:t>
      </w:r>
    </w:p>
    <w:p w14:paraId="725782E4">
      <w:pPr>
        <w:spacing w:line="600" w:lineRule="exact"/>
        <w:ind w:firstLine="640" w:firstLineChars="200"/>
        <w:textAlignment w:val="baseline"/>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稻谷补贴资金的下达。粮食行政主管部门的稻谷生产者售粮补贴，由自治区财政厅根据相关部门的资金分配方案下达至玉州区财政局，再由玉州区财政局</w:t>
      </w:r>
      <w:r>
        <w:rPr>
          <w:rFonts w:hint="eastAsia" w:ascii="仿宋_GB2312" w:eastAsia="仿宋_GB2312"/>
          <w:kern w:val="0"/>
          <w:sz w:val="32"/>
          <w:szCs w:val="32"/>
        </w:rPr>
        <w:t>将补贴资金下达各镇</w:t>
      </w:r>
      <w:r>
        <w:rPr>
          <w:rFonts w:ascii="仿宋_GB2312" w:eastAsia="仿宋_GB2312"/>
          <w:kern w:val="0"/>
          <w:sz w:val="32"/>
          <w:szCs w:val="32"/>
        </w:rPr>
        <w:t>(</w:t>
      </w:r>
      <w:r>
        <w:rPr>
          <w:rFonts w:hint="eastAsia" w:ascii="仿宋_GB2312" w:eastAsia="仿宋_GB2312"/>
          <w:kern w:val="0"/>
          <w:sz w:val="32"/>
          <w:szCs w:val="32"/>
        </w:rPr>
        <w:t>街道</w:t>
      </w:r>
      <w:r>
        <w:rPr>
          <w:rFonts w:ascii="仿宋_GB2312" w:eastAsia="仿宋_GB2312"/>
          <w:kern w:val="0"/>
          <w:sz w:val="32"/>
          <w:szCs w:val="32"/>
        </w:rPr>
        <w:t>)</w:t>
      </w:r>
      <w:r>
        <w:rPr>
          <w:rFonts w:hint="eastAsia" w:ascii="仿宋_GB2312" w:eastAsia="仿宋_GB2312"/>
          <w:kern w:val="0"/>
          <w:sz w:val="32"/>
          <w:szCs w:val="32"/>
        </w:rPr>
        <w:t>财政所</w:t>
      </w:r>
      <w:r>
        <w:rPr>
          <w:rFonts w:hint="eastAsia" w:ascii="仿宋_GB2312" w:eastAsia="仿宋_GB2312"/>
          <w:sz w:val="32"/>
          <w:szCs w:val="32"/>
        </w:rPr>
        <w:t>。粮食行政主管部门的粮食收购补贴资金，由自治区财政厅拨付至自治区储备粮集团公司。</w:t>
      </w:r>
    </w:p>
    <w:p w14:paraId="62C8D4EE">
      <w:pPr>
        <w:widowControl/>
        <w:overflowPunct w:val="0"/>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稻谷补贴资金的兑现。根据</w:t>
      </w:r>
      <w:r>
        <w:rPr>
          <w:rFonts w:hint="eastAsia" w:eastAsia="仿宋_GB2312"/>
          <w:sz w:val="32"/>
          <w:szCs w:val="32"/>
        </w:rPr>
        <w:t>《广西壮族自治区财政厅</w:t>
      </w:r>
      <w:r>
        <w:rPr>
          <w:rFonts w:eastAsia="仿宋_GB2312"/>
          <w:sz w:val="32"/>
          <w:szCs w:val="32"/>
        </w:rPr>
        <w:t xml:space="preserve"> </w:t>
      </w:r>
      <w:r>
        <w:rPr>
          <w:rFonts w:hint="eastAsia" w:eastAsia="仿宋_GB2312"/>
          <w:sz w:val="32"/>
          <w:szCs w:val="32"/>
        </w:rPr>
        <w:t>广西壮族自治区农业农村厅等六部门关于印发广西惠民惠农财政补贴资金“一卡通”发放管理办法（试行）的通知》（桂财规</w:t>
      </w:r>
      <w:r>
        <w:rPr>
          <w:rFonts w:hint="eastAsia" w:ascii="仿宋_GB2312" w:eastAsia="仿宋_GB2312"/>
          <w:sz w:val="32"/>
          <w:szCs w:val="32"/>
        </w:rPr>
        <w:t>〔</w:t>
      </w:r>
      <w:r>
        <w:rPr>
          <w:rFonts w:ascii="仿宋_GB2312" w:eastAsia="仿宋_GB2312"/>
          <w:sz w:val="32"/>
          <w:szCs w:val="32"/>
        </w:rPr>
        <w:t>2022</w:t>
      </w: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号</w:t>
      </w:r>
      <w:r>
        <w:rPr>
          <w:rFonts w:hint="eastAsia" w:eastAsia="仿宋_GB2312"/>
          <w:sz w:val="32"/>
          <w:szCs w:val="32"/>
        </w:rPr>
        <w:t>）等有关规定，</w:t>
      </w:r>
      <w:r>
        <w:rPr>
          <w:rFonts w:hint="eastAsia" w:ascii="仿宋_GB2312" w:eastAsia="仿宋_GB2312"/>
          <w:sz w:val="32"/>
          <w:szCs w:val="32"/>
        </w:rPr>
        <w:t>应兑现的</w:t>
      </w:r>
      <w:r>
        <w:rPr>
          <w:rFonts w:hint="eastAsia" w:ascii="仿宋_GB2312" w:eastAsia="仿宋_GB2312"/>
          <w:bCs/>
          <w:kern w:val="0"/>
          <w:sz w:val="32"/>
          <w:szCs w:val="32"/>
        </w:rPr>
        <w:t>稻谷</w:t>
      </w:r>
      <w:r>
        <w:rPr>
          <w:rFonts w:hint="eastAsia" w:ascii="仿宋_GB2312" w:eastAsia="仿宋_GB2312"/>
          <w:sz w:val="32"/>
          <w:szCs w:val="32"/>
        </w:rPr>
        <w:t>补贴资金，由</w:t>
      </w:r>
      <w:r>
        <w:rPr>
          <w:rFonts w:hint="eastAsia" w:ascii="仿宋_GB2312" w:eastAsia="仿宋_GB2312"/>
          <w:kern w:val="0"/>
          <w:sz w:val="32"/>
          <w:szCs w:val="32"/>
        </w:rPr>
        <w:t>玉州区财政局或镇（街道）财政所</w:t>
      </w:r>
      <w:r>
        <w:rPr>
          <w:rFonts w:hint="eastAsia" w:ascii="仿宋_GB2312" w:eastAsia="仿宋_GB2312"/>
          <w:sz w:val="32"/>
          <w:szCs w:val="32"/>
        </w:rPr>
        <w:t>根据国库集中支付有关规定，原则上全部通过广西惠民惠农</w:t>
      </w:r>
      <w:r>
        <w:rPr>
          <w:rFonts w:hint="eastAsia" w:eastAsia="仿宋_GB2312"/>
          <w:sz w:val="32"/>
          <w:szCs w:val="32"/>
        </w:rPr>
        <w:t>财政补贴资金</w:t>
      </w:r>
      <w:r>
        <w:rPr>
          <w:rFonts w:hint="eastAsia" w:ascii="仿宋_GB2312" w:eastAsia="仿宋_GB2312"/>
          <w:sz w:val="32"/>
          <w:szCs w:val="32"/>
        </w:rPr>
        <w:t>“一卡通”管理系统</w:t>
      </w:r>
      <w:r>
        <w:rPr>
          <w:rFonts w:hint="eastAsia" w:eastAsia="仿宋_GB2312"/>
          <w:sz w:val="32"/>
          <w:szCs w:val="32"/>
        </w:rPr>
        <w:t>兑付给补贴对象</w:t>
      </w:r>
      <w:r>
        <w:rPr>
          <w:rFonts w:hint="eastAsia" w:ascii="仿宋_GB2312" w:eastAsia="仿宋_GB2312"/>
          <w:sz w:val="32"/>
          <w:szCs w:val="32"/>
        </w:rPr>
        <w:t>，具体详见工作流程，不允许现金兑付。</w:t>
      </w:r>
    </w:p>
    <w:p w14:paraId="0DB61136">
      <w:pPr>
        <w:spacing w:line="600" w:lineRule="exact"/>
        <w:ind w:firstLine="640" w:firstLineChars="200"/>
        <w:textAlignment w:val="baseline"/>
        <w:rPr>
          <w:rFonts w:eastAsia="楷体_GB2312"/>
          <w:sz w:val="32"/>
          <w:szCs w:val="32"/>
        </w:rPr>
      </w:pPr>
      <w:r>
        <w:rPr>
          <w:rFonts w:hint="eastAsia" w:eastAsia="楷体_GB2312"/>
          <w:sz w:val="32"/>
          <w:szCs w:val="32"/>
        </w:rPr>
        <w:t>（六）工作经费。</w:t>
      </w:r>
    </w:p>
    <w:p w14:paraId="178847A0">
      <w:pPr>
        <w:widowControl/>
        <w:spacing w:line="600" w:lineRule="exact"/>
        <w:ind w:firstLine="640" w:firstLineChars="200"/>
        <w:textAlignment w:val="baseline"/>
        <w:rPr>
          <w:rFonts w:ascii="仿宋_GB2312" w:eastAsia="仿宋_GB2312"/>
          <w:sz w:val="32"/>
          <w:szCs w:val="32"/>
        </w:rPr>
      </w:pPr>
      <w:r>
        <w:rPr>
          <w:rFonts w:hint="eastAsia" w:ascii="仿宋_GB2312" w:eastAsia="仿宋_GB2312"/>
          <w:sz w:val="32"/>
          <w:szCs w:val="32"/>
        </w:rPr>
        <w:t>为大力推进稻谷补贴政策的实施，根据自治区有关文件要求，</w:t>
      </w:r>
      <w:r>
        <w:rPr>
          <w:rFonts w:hint="eastAsia" w:eastAsia="仿宋_GB2312"/>
          <w:sz w:val="32"/>
          <w:szCs w:val="32"/>
        </w:rPr>
        <w:t>区财政局</w:t>
      </w:r>
      <w:r>
        <w:rPr>
          <w:rFonts w:hint="eastAsia" w:ascii="仿宋_GB2312" w:eastAsia="仿宋_GB2312"/>
          <w:sz w:val="32"/>
          <w:szCs w:val="32"/>
        </w:rPr>
        <w:t>应将部分工作经费和粮食收购费用分配到镇（街道）、</w:t>
      </w:r>
      <w:r>
        <w:rPr>
          <w:rFonts w:hint="eastAsia" w:eastAsia="仿宋_GB2312"/>
          <w:sz w:val="32"/>
          <w:szCs w:val="32"/>
        </w:rPr>
        <w:t>村（居）委会</w:t>
      </w:r>
      <w:r>
        <w:rPr>
          <w:rFonts w:hint="eastAsia" w:ascii="仿宋_GB2312" w:eastAsia="仿宋_GB2312"/>
          <w:sz w:val="32"/>
          <w:szCs w:val="32"/>
        </w:rPr>
        <w:t>等单位，并在当地一定范围内进行公示，确保政策宣传和相关组织工作等必要的费用支出。</w:t>
      </w:r>
    </w:p>
    <w:p w14:paraId="7595AA08">
      <w:pPr>
        <w:numPr>
          <w:ilvl w:val="0"/>
          <w:numId w:val="1"/>
        </w:numPr>
        <w:spacing w:line="600" w:lineRule="exact"/>
        <w:ind w:firstLine="742" w:firstLineChars="232"/>
        <w:textAlignment w:val="baseline"/>
        <w:rPr>
          <w:rFonts w:eastAsia="黑体"/>
          <w:sz w:val="32"/>
          <w:szCs w:val="32"/>
        </w:rPr>
      </w:pPr>
      <w:r>
        <w:rPr>
          <w:rFonts w:hint="eastAsia" w:eastAsia="黑体"/>
          <w:sz w:val="32"/>
          <w:szCs w:val="32"/>
        </w:rPr>
        <w:t>职责分工</w:t>
      </w:r>
    </w:p>
    <w:p w14:paraId="13A2E8E6">
      <w:pPr>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区人民政府负责协调辖区内各部门做好粮食行政主管部门的稻谷补贴工作，及时制定稻谷补贴实施方案，督促镇（街道）人民政府（办事处）做好相关配合工作，并加强监督检查。</w:t>
      </w:r>
    </w:p>
    <w:p w14:paraId="541709F8">
      <w:pPr>
        <w:widowControl/>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玉州区财政部门负责按时下达或核拨兑付补贴资金，办理补贴资金结算、退回自治区粮食风险基金专户，以及监督补贴资金的安全使用等工作；根据部门申请做好</w:t>
      </w:r>
      <w:r>
        <w:rPr>
          <w:rFonts w:hint="eastAsia" w:ascii="仿宋_GB2312" w:eastAsia="仿宋_GB2312"/>
          <w:sz w:val="32"/>
          <w:szCs w:val="32"/>
        </w:rPr>
        <w:t>广西惠民惠农</w:t>
      </w:r>
      <w:r>
        <w:rPr>
          <w:rFonts w:hint="eastAsia" w:eastAsia="仿宋_GB2312"/>
          <w:sz w:val="32"/>
          <w:szCs w:val="32"/>
        </w:rPr>
        <w:t>财政补贴资金</w:t>
      </w:r>
      <w:r>
        <w:rPr>
          <w:rFonts w:hint="eastAsia" w:ascii="仿宋_GB2312" w:hAnsi="仿宋_GB2312" w:eastAsia="仿宋_GB2312" w:cs="仿宋_GB2312"/>
          <w:sz w:val="32"/>
          <w:szCs w:val="32"/>
        </w:rPr>
        <w:t>“一卡通”管理系统权限分配，将“一卡通”管理系统添加到</w:t>
      </w:r>
      <w:r>
        <w:rPr>
          <w:rFonts w:ascii="仿宋_GB2312" w:hAnsi="仿宋_GB2312" w:eastAsia="仿宋_GB2312" w:cs="仿宋_GB2312"/>
          <w:sz w:val="32"/>
          <w:szCs w:val="32"/>
        </w:rPr>
        <w:t>VPN</w:t>
      </w:r>
      <w:r>
        <w:rPr>
          <w:rFonts w:hint="eastAsia" w:ascii="仿宋_GB2312" w:hAnsi="仿宋_GB2312" w:eastAsia="仿宋_GB2312" w:cs="仿宋_GB2312"/>
          <w:sz w:val="32"/>
          <w:szCs w:val="32"/>
        </w:rPr>
        <w:t>资源，为粮食收购企业分配</w:t>
      </w:r>
      <w:r>
        <w:rPr>
          <w:rFonts w:ascii="仿宋_GB2312" w:hAnsi="仿宋_GB2312" w:eastAsia="仿宋_GB2312" w:cs="仿宋_GB2312"/>
          <w:sz w:val="32"/>
          <w:szCs w:val="32"/>
        </w:rPr>
        <w:t>U-KEY</w:t>
      </w:r>
      <w:r>
        <w:rPr>
          <w:rFonts w:hint="eastAsia" w:ascii="仿宋_GB2312" w:hAnsi="仿宋_GB2312" w:eastAsia="仿宋_GB2312" w:cs="仿宋_GB2312"/>
          <w:sz w:val="32"/>
          <w:szCs w:val="32"/>
        </w:rPr>
        <w:t>并开通</w:t>
      </w:r>
      <w:r>
        <w:rPr>
          <w:rFonts w:ascii="仿宋_GB2312" w:hAnsi="仿宋_GB2312" w:eastAsia="仿宋_GB2312" w:cs="仿宋_GB2312"/>
          <w:sz w:val="32"/>
          <w:szCs w:val="32"/>
        </w:rPr>
        <w:t>VPN</w:t>
      </w:r>
      <w:r>
        <w:rPr>
          <w:rFonts w:hint="eastAsia" w:ascii="仿宋_GB2312" w:hAnsi="仿宋_GB2312" w:eastAsia="仿宋_GB2312" w:cs="仿宋_GB2312"/>
          <w:sz w:val="32"/>
          <w:szCs w:val="32"/>
        </w:rPr>
        <w:t>权限。</w:t>
      </w:r>
    </w:p>
    <w:p w14:paraId="2541E9DE">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农发行玉林分行</w:t>
      </w:r>
      <w:r>
        <w:rPr>
          <w:rFonts w:hint="eastAsia" w:ascii="仿宋_GB2312" w:hAnsi="仿宋_GB2312" w:eastAsia="仿宋_GB2312" w:cs="仿宋_GB2312"/>
          <w:sz w:val="32"/>
          <w:szCs w:val="32"/>
        </w:rPr>
        <w:t>负责做好当地粮食收购企业的普通籼稻贷款工作，及时足额做好资金的供应。</w:t>
      </w:r>
    </w:p>
    <w:p w14:paraId="1CD244A2">
      <w:pPr>
        <w:widowControl/>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玉州区粮食行政主管部门审核粮食收购企业名单和粮食收购企业上报的信息，监督检查粮食收购工作，督促粮食收购企业根据《粮食委托收购合同》收购稻谷生产者当年生产的粮食；负责审核本级粮食收购企业在“一卡通”管理系统上报的信息。</w:t>
      </w:r>
    </w:p>
    <w:p w14:paraId="175EF5ED">
      <w:pPr>
        <w:widowControl/>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镇（街道）人民政府（办事处）负责督促辖区内相关村（居）委会动员种植水稻、核实稻谷生产者种植情况；负责将区政府下达的粮食收购计划分解到村（居）委会和符合种植面积要求的种粮主体，并对分解计划的真实性负责，督促村（居）委会将粮食收购计划合理安排到稻谷生产者，及时汇总《售粮计划安排表》等报送本级粮食行政主管部门，督促粮食收购企业及时申报稻谷生产者售粮补贴。</w:t>
      </w:r>
    </w:p>
    <w:p w14:paraId="657A5C2D">
      <w:pPr>
        <w:widowControl/>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粮食收购企业负责收购交售的粮食，及时兑付售粮款，按要求在“一卡通”管理系统内准确填报售粮的稻谷生产者的姓名（名称）、品种、数量、补贴金额等基础信息，及时汇总申报补贴相关材料报送本级粮食行政主管部门，督促所辖财政部门按规定及时向补贴对象支付补贴款。并对所收购入库的粮食质量负责，承担因粮食质量不合格造成的所有损失。</w:t>
      </w:r>
    </w:p>
    <w:p w14:paraId="6D1F7886">
      <w:pPr>
        <w:spacing w:line="600" w:lineRule="exact"/>
        <w:ind w:firstLine="644"/>
        <w:textAlignment w:val="baseline"/>
        <w:rPr>
          <w:rFonts w:eastAsia="黑体"/>
          <w:sz w:val="32"/>
          <w:szCs w:val="32"/>
        </w:rPr>
      </w:pPr>
      <w:r>
        <w:rPr>
          <w:rFonts w:hint="eastAsia" w:eastAsia="黑体"/>
          <w:sz w:val="32"/>
          <w:szCs w:val="32"/>
        </w:rPr>
        <w:t>四、保障措施</w:t>
      </w:r>
    </w:p>
    <w:p w14:paraId="6E230CCC">
      <w:pPr>
        <w:spacing w:line="600" w:lineRule="exact"/>
        <w:ind w:firstLine="640" w:firstLineChars="200"/>
        <w:textAlignment w:val="baseline"/>
        <w:rPr>
          <w:rFonts w:eastAsia="楷体_GB2312"/>
          <w:sz w:val="32"/>
          <w:szCs w:val="32"/>
        </w:rPr>
      </w:pPr>
      <w:r>
        <w:rPr>
          <w:rFonts w:hint="eastAsia" w:eastAsia="楷体_GB2312"/>
          <w:sz w:val="32"/>
          <w:szCs w:val="32"/>
        </w:rPr>
        <w:t>（一）加强组织领导。</w:t>
      </w:r>
    </w:p>
    <w:p w14:paraId="669DAC48">
      <w:pPr>
        <w:spacing w:line="600" w:lineRule="exact"/>
        <w:ind w:firstLine="640" w:firstLineChars="200"/>
        <w:rPr>
          <w:rFonts w:eastAsia="仿宋_GB2312"/>
          <w:kern w:val="0"/>
          <w:sz w:val="32"/>
          <w:szCs w:val="32"/>
        </w:rPr>
      </w:pPr>
      <w:r>
        <w:rPr>
          <w:rFonts w:hint="eastAsia" w:eastAsia="仿宋_GB2312"/>
          <w:kern w:val="0"/>
          <w:sz w:val="32"/>
          <w:szCs w:val="32"/>
        </w:rPr>
        <w:t>区人民政府作为此项补贴项目实施的责任主体，将加强组织领导，财政、发展改革（粮食和储备）、农业农村、农发行等部门要按照实施方案的要求，各司其职，各负其责，密切配合，协同推进各项工作。</w:t>
      </w:r>
    </w:p>
    <w:p w14:paraId="756B9334">
      <w:pPr>
        <w:spacing w:line="600" w:lineRule="exact"/>
        <w:ind w:firstLine="640" w:firstLineChars="200"/>
        <w:textAlignment w:val="baseline"/>
        <w:rPr>
          <w:rFonts w:eastAsia="楷体_GB2312"/>
          <w:sz w:val="32"/>
          <w:szCs w:val="32"/>
        </w:rPr>
      </w:pPr>
      <w:r>
        <w:rPr>
          <w:rFonts w:hint="eastAsia" w:eastAsia="楷体_GB2312"/>
          <w:sz w:val="32"/>
          <w:szCs w:val="32"/>
        </w:rPr>
        <w:t>（二）加强政策宣传。</w:t>
      </w:r>
    </w:p>
    <w:p w14:paraId="2B1D384E">
      <w:pPr>
        <w:spacing w:line="600" w:lineRule="exact"/>
        <w:ind w:firstLine="640" w:firstLineChars="200"/>
        <w:textAlignment w:val="baseline"/>
        <w:rPr>
          <w:rFonts w:eastAsia="仿宋_GB2312"/>
          <w:kern w:val="0"/>
          <w:sz w:val="32"/>
          <w:szCs w:val="32"/>
        </w:rPr>
      </w:pPr>
      <w:r>
        <w:rPr>
          <w:rFonts w:hint="eastAsia" w:eastAsia="仿宋_GB2312"/>
          <w:kern w:val="0"/>
          <w:sz w:val="32"/>
          <w:szCs w:val="32"/>
        </w:rPr>
        <w:t>加强稻谷补贴政策的宣传力度和舆论引导工作，通过广播、电视、网络以及新媒体等多形式宣传，使基层干部群众、各类稻谷生产者了解稻谷补贴政策的意义和内容，向享受补贴的对象及时推送政策短信，提高各补贴对象的知晓度、满意度和政策的导向性。</w:t>
      </w:r>
    </w:p>
    <w:p w14:paraId="70889B15">
      <w:pPr>
        <w:spacing w:line="600" w:lineRule="exact"/>
        <w:ind w:firstLine="640" w:firstLineChars="200"/>
        <w:textAlignment w:val="baseline"/>
        <w:rPr>
          <w:rFonts w:eastAsia="楷体_GB2312"/>
          <w:sz w:val="32"/>
          <w:szCs w:val="32"/>
        </w:rPr>
      </w:pPr>
      <w:r>
        <w:rPr>
          <w:rFonts w:hint="eastAsia" w:eastAsia="楷体_GB2312"/>
          <w:sz w:val="32"/>
          <w:szCs w:val="32"/>
        </w:rPr>
        <w:t>（三）做好基础工作。</w:t>
      </w:r>
    </w:p>
    <w:p w14:paraId="239FDAF4">
      <w:pPr>
        <w:spacing w:line="60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格执行补贴资金专户管理制度，确保补贴资金封闭运行，实行补贴资金全部通过广西惠民惠农财政补贴资金“一卡通”管理系统兑付。要坚持并完善此前涉农补贴行之有效的补贴公示、补贴信息档案管理等制度，确保补贴政策公开透明、补贴对象信息动态更新、补贴信息完整真实。</w:t>
      </w:r>
      <w:r>
        <w:rPr>
          <w:rFonts w:hint="eastAsia" w:ascii="仿宋_GB2312" w:hAnsi="仿宋_GB2312" w:eastAsia="仿宋_GB2312" w:cs="仿宋_GB2312"/>
          <w:snapToGrid w:val="0"/>
          <w:sz w:val="32"/>
          <w:szCs w:val="32"/>
        </w:rPr>
        <w:t>将粮食收购计划分解任务进行张榜公示，公示要求详见工作流程。</w:t>
      </w:r>
    </w:p>
    <w:p w14:paraId="60591D61">
      <w:pPr>
        <w:spacing w:line="600" w:lineRule="exact"/>
        <w:ind w:firstLine="640" w:firstLineChars="200"/>
        <w:rPr>
          <w:rFonts w:eastAsia="楷体_GB2312"/>
          <w:b/>
          <w:bCs/>
          <w:sz w:val="32"/>
          <w:szCs w:val="32"/>
        </w:rPr>
      </w:pPr>
      <w:r>
        <w:rPr>
          <w:rFonts w:hint="eastAsia" w:eastAsia="楷体_GB2312"/>
          <w:sz w:val="32"/>
          <w:szCs w:val="32"/>
        </w:rPr>
        <w:t>（四）严明申报、售粮纪律。</w:t>
      </w:r>
    </w:p>
    <w:p w14:paraId="47DD589C">
      <w:pPr>
        <w:spacing w:line="600" w:lineRule="exact"/>
        <w:ind w:firstLine="640" w:firstLineChars="200"/>
        <w:textAlignment w:val="baseline"/>
        <w:rPr>
          <w:rFonts w:eastAsia="仿宋_GB2312"/>
          <w:kern w:val="0"/>
          <w:sz w:val="32"/>
          <w:szCs w:val="32"/>
        </w:rPr>
      </w:pPr>
      <w:r>
        <w:rPr>
          <w:rFonts w:hint="eastAsia" w:eastAsia="仿宋_GB2312"/>
          <w:kern w:val="0"/>
          <w:sz w:val="32"/>
          <w:szCs w:val="32"/>
        </w:rPr>
        <w:t>申报者必须如实填报补贴面积，不得弄虚作假。对弄虚作假、挤占、截留、挪用和套取补贴资金等违规行为，依法依规给予严肃处理。建立个人诚信记录，对骗取、挪用和套取补贴资金等行为记入个人失信记录。</w:t>
      </w:r>
    </w:p>
    <w:p w14:paraId="69213108">
      <w:pPr>
        <w:spacing w:line="600" w:lineRule="exact"/>
        <w:ind w:firstLine="640" w:firstLineChars="200"/>
        <w:textAlignment w:val="baseline"/>
        <w:rPr>
          <w:rFonts w:eastAsia="仿宋_GB2312"/>
          <w:sz w:val="32"/>
          <w:szCs w:val="32"/>
        </w:rPr>
      </w:pPr>
      <w:r>
        <w:rPr>
          <w:rFonts w:hint="eastAsia" w:eastAsia="仿宋_GB2312"/>
          <w:sz w:val="32"/>
          <w:szCs w:val="32"/>
        </w:rPr>
        <w:t>严禁售粮主体采购稻谷来交售，违者一经查实将按照违反《粮食流通管理条例》所禁止的套取粮食价差和财政补贴行为严肃处理。</w:t>
      </w:r>
    </w:p>
    <w:p w14:paraId="4F9E9AFA">
      <w:pPr>
        <w:overflowPunct w:val="0"/>
        <w:spacing w:line="600" w:lineRule="exact"/>
        <w:ind w:firstLine="640" w:firstLineChars="200"/>
        <w:rPr>
          <w:rFonts w:eastAsia="楷体_GB2312"/>
          <w:sz w:val="32"/>
          <w:szCs w:val="32"/>
        </w:rPr>
      </w:pPr>
      <w:r>
        <w:rPr>
          <w:rFonts w:hint="eastAsia" w:eastAsia="楷体_GB2312"/>
          <w:sz w:val="32"/>
          <w:szCs w:val="32"/>
        </w:rPr>
        <w:t>（五）规范收购计划调整</w:t>
      </w:r>
    </w:p>
    <w:p w14:paraId="63D228C9">
      <w:pPr>
        <w:overflowPunct w:val="0"/>
        <w:spacing w:line="600" w:lineRule="exact"/>
        <w:rPr>
          <w:rFonts w:ascii="仿宋_GB2312" w:hAnsi="仿宋" w:eastAsia="仿宋_GB2312" w:cs="仿宋"/>
          <w:sz w:val="32"/>
          <w:szCs w:val="32"/>
        </w:rPr>
      </w:pPr>
      <w:r>
        <w:rPr>
          <w:rFonts w:eastAsia="楷体_GB2312"/>
          <w:sz w:val="32"/>
          <w:szCs w:val="32"/>
        </w:rPr>
        <w:t xml:space="preserve">    </w:t>
      </w:r>
      <w:r>
        <w:rPr>
          <w:rFonts w:hint="eastAsia" w:ascii="仿宋_GB2312" w:hAnsi="仿宋" w:eastAsia="仿宋_GB2312" w:cs="仿宋"/>
          <w:sz w:val="32"/>
          <w:szCs w:val="32"/>
        </w:rPr>
        <w:t>积极采取有效措施开展稻谷补贴粮食收购工作，落实售粮补贴目标任务。在粮食收购中，若因各地粮源情况、收购进度等各种因素影响，部分地区需要调减或调增收购计划的，由广西壮族自治区粮食和物资储备局、广西壮族自治区发展和改革委员会、广西壮族自治区财政厅、中国农业发展银行广西壮族自治区分行等部门联合下文调整</w:t>
      </w:r>
      <w:r>
        <w:rPr>
          <w:rFonts w:ascii="仿宋_GB2312" w:hAnsi="仿宋" w:eastAsia="仿宋_GB2312" w:cs="仿宋"/>
          <w:sz w:val="32"/>
          <w:szCs w:val="32"/>
        </w:rPr>
        <w:t>2023</w:t>
      </w:r>
      <w:r>
        <w:rPr>
          <w:rFonts w:hint="eastAsia" w:ascii="仿宋_GB2312" w:hAnsi="仿宋" w:eastAsia="仿宋_GB2312" w:cs="仿宋"/>
          <w:sz w:val="32"/>
          <w:szCs w:val="32"/>
        </w:rPr>
        <w:t>年稻谷补贴粮食收购计划，确保</w:t>
      </w:r>
      <w:r>
        <w:rPr>
          <w:rFonts w:ascii="仿宋_GB2312" w:hAnsi="仿宋" w:eastAsia="仿宋_GB2312" w:cs="仿宋"/>
          <w:sz w:val="32"/>
          <w:szCs w:val="32"/>
        </w:rPr>
        <w:t>2023</w:t>
      </w:r>
      <w:r>
        <w:rPr>
          <w:rFonts w:hint="eastAsia" w:ascii="仿宋_GB2312" w:hAnsi="仿宋" w:eastAsia="仿宋_GB2312" w:cs="仿宋"/>
          <w:sz w:val="32"/>
          <w:szCs w:val="32"/>
        </w:rPr>
        <w:t>年稻谷补贴粮食收购计划完成。</w:t>
      </w:r>
    </w:p>
    <w:p w14:paraId="4364E62E">
      <w:pPr>
        <w:spacing w:line="600" w:lineRule="exact"/>
        <w:ind w:firstLine="640" w:firstLineChars="200"/>
        <w:rPr>
          <w:rFonts w:eastAsia="楷体_GB2312"/>
          <w:snapToGrid w:val="0"/>
          <w:sz w:val="32"/>
          <w:szCs w:val="32"/>
        </w:rPr>
      </w:pPr>
      <w:r>
        <w:rPr>
          <w:rFonts w:hint="eastAsia" w:eastAsia="楷体_GB2312"/>
          <w:snapToGrid w:val="0"/>
          <w:sz w:val="32"/>
          <w:szCs w:val="32"/>
        </w:rPr>
        <w:t>（六）严格审批管理。</w:t>
      </w:r>
    </w:p>
    <w:p w14:paraId="15868CA5">
      <w:pPr>
        <w:spacing w:line="600" w:lineRule="exact"/>
        <w:rPr>
          <w:rFonts w:eastAsia="仿宋_GB2312"/>
          <w:sz w:val="32"/>
          <w:szCs w:val="32"/>
        </w:rPr>
      </w:pPr>
      <w:r>
        <w:rPr>
          <w:rFonts w:eastAsia="仿宋_GB2312"/>
          <w:snapToGrid w:val="0"/>
          <w:sz w:val="32"/>
          <w:szCs w:val="32"/>
        </w:rPr>
        <w:t xml:space="preserve">    </w:t>
      </w:r>
      <w:r>
        <w:rPr>
          <w:rFonts w:hint="eastAsia" w:eastAsia="仿宋_GB2312"/>
          <w:snapToGrid w:val="0"/>
          <w:sz w:val="32"/>
          <w:szCs w:val="32"/>
        </w:rPr>
        <w:t>稻谷补贴工作遵循</w:t>
      </w:r>
      <w:r>
        <w:rPr>
          <w:rFonts w:eastAsia="仿宋_GB2312"/>
          <w:snapToGrid w:val="0"/>
          <w:sz w:val="32"/>
          <w:szCs w:val="32"/>
        </w:rPr>
        <w:t>“</w:t>
      </w:r>
      <w:r>
        <w:rPr>
          <w:rFonts w:hint="eastAsia" w:eastAsia="仿宋_GB2312"/>
          <w:snapToGrid w:val="0"/>
          <w:sz w:val="32"/>
          <w:szCs w:val="32"/>
        </w:rPr>
        <w:t>谁审批、谁负责</w:t>
      </w:r>
      <w:r>
        <w:rPr>
          <w:rFonts w:eastAsia="仿宋_GB2312"/>
          <w:snapToGrid w:val="0"/>
          <w:sz w:val="32"/>
          <w:szCs w:val="32"/>
        </w:rPr>
        <w:t>”</w:t>
      </w:r>
      <w:r>
        <w:rPr>
          <w:rFonts w:hint="eastAsia" w:eastAsia="仿宋_GB2312"/>
          <w:snapToGrid w:val="0"/>
          <w:sz w:val="32"/>
          <w:szCs w:val="32"/>
        </w:rPr>
        <w:t>的原则，明确申报的稻谷售卖数量，以及补贴资金分配和拨付兑付各环节的审批责任，做到责任清晰、管理规范。对各镇（街道）、各部门及其工作人员在稻谷生产者售粮补贴等审批工作中出现的问题，依法依规进行处理。</w:t>
      </w:r>
    </w:p>
    <w:p w14:paraId="0418DA06">
      <w:pPr>
        <w:spacing w:line="600" w:lineRule="exact"/>
        <w:ind w:firstLine="640" w:firstLineChars="200"/>
        <w:textAlignment w:val="baseline"/>
        <w:rPr>
          <w:rFonts w:eastAsia="楷体_GB2312"/>
          <w:snapToGrid w:val="0"/>
          <w:sz w:val="32"/>
          <w:szCs w:val="32"/>
        </w:rPr>
      </w:pPr>
      <w:r>
        <w:rPr>
          <w:rFonts w:hint="eastAsia" w:eastAsia="楷体_GB2312"/>
          <w:snapToGrid w:val="0"/>
          <w:sz w:val="32"/>
          <w:szCs w:val="32"/>
        </w:rPr>
        <w:t>（七）严格监督管理。</w:t>
      </w:r>
    </w:p>
    <w:p w14:paraId="3BED8887">
      <w:pPr>
        <w:spacing w:line="600" w:lineRule="exact"/>
        <w:textAlignment w:val="baseline"/>
        <w:rPr>
          <w:rFonts w:ascii="仿宋_GB2312" w:hAnsi="仿宋_GB2312" w:eastAsia="仿宋_GB2312" w:cs="仿宋_GB2312"/>
          <w:sz w:val="32"/>
          <w:szCs w:val="32"/>
        </w:rPr>
      </w:pPr>
      <w:r>
        <w:rPr>
          <w:rFonts w:eastAsia="仿宋_GB2312"/>
          <w:snapToGrid w:val="0"/>
          <w:sz w:val="32"/>
          <w:szCs w:val="32"/>
        </w:rPr>
        <w:t xml:space="preserve">  </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严格落实粮食安全党政同责考核有关要求，稻谷补贴资金要及时足额发放到位。严禁挪用稻谷补贴资金，</w:t>
      </w:r>
      <w:r>
        <w:rPr>
          <w:rFonts w:hint="eastAsia" w:ascii="仿宋_GB2312" w:hAnsi="仿宋_GB2312" w:eastAsia="仿宋_GB2312" w:cs="仿宋_GB2312"/>
          <w:kern w:val="0"/>
          <w:sz w:val="32"/>
          <w:szCs w:val="32"/>
        </w:rPr>
        <w:t>严格执行补贴资金专户管理制度，补贴资金专户实行封闭管理、分账核算，实行广西惠民惠农财政补贴资金“一卡通”管理系统兑付。</w:t>
      </w:r>
      <w:r>
        <w:rPr>
          <w:rFonts w:hint="eastAsia" w:ascii="仿宋_GB2312" w:hAnsi="仿宋_GB2312" w:eastAsia="仿宋_GB2312" w:cs="仿宋_GB2312"/>
          <w:snapToGrid w:val="0"/>
          <w:sz w:val="32"/>
          <w:szCs w:val="32"/>
        </w:rPr>
        <w:t>通过门户网站、新闻媒体、监督电话广泛接受群众监督。加强监督管理，对补贴政策执行情况进行全面自查；市一级将对所辖县（市、区）补贴政策执行情况进行抽查，对发现的问题及时整改处理。</w:t>
      </w:r>
    </w:p>
    <w:p w14:paraId="42841607">
      <w:pPr>
        <w:spacing w:line="600" w:lineRule="exact"/>
        <w:ind w:firstLine="640" w:firstLineChars="200"/>
        <w:textAlignment w:val="baseline"/>
        <w:rPr>
          <w:rFonts w:eastAsia="楷体_GB2312"/>
          <w:sz w:val="32"/>
          <w:szCs w:val="32"/>
        </w:rPr>
      </w:pPr>
      <w:r>
        <w:rPr>
          <w:rFonts w:hint="eastAsia" w:eastAsia="楷体_GB2312"/>
          <w:sz w:val="32"/>
          <w:szCs w:val="32"/>
        </w:rPr>
        <w:t>（八）做好绩效评价工作。</w:t>
      </w:r>
    </w:p>
    <w:p w14:paraId="3D5CA052">
      <w:pPr>
        <w:spacing w:line="600" w:lineRule="exact"/>
        <w:textAlignment w:val="baseline"/>
        <w:rPr>
          <w:rFonts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为切实提高财政资金使用效益，对稻谷补贴实行预算绩效管理。自治区对各设区市绩效目标进行分解</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详见《广西壮族自治区财政厅关于下达</w:t>
      </w:r>
      <w:r>
        <w:rPr>
          <w:rFonts w:ascii="仿宋_GB2312" w:hAnsi="仿宋_GB2312" w:eastAsia="仿宋_GB2312" w:cs="仿宋_GB2312"/>
          <w:kern w:val="0"/>
          <w:sz w:val="32"/>
          <w:szCs w:val="32"/>
        </w:rPr>
        <w:t>2023</w:t>
      </w:r>
      <w:r>
        <w:rPr>
          <w:rFonts w:hint="eastAsia" w:ascii="仿宋_GB2312" w:hAnsi="仿宋_GB2312" w:eastAsia="仿宋_GB2312" w:cs="仿宋_GB2312"/>
          <w:kern w:val="0"/>
          <w:sz w:val="32"/>
          <w:szCs w:val="32"/>
        </w:rPr>
        <w:t>年目标价格补贴（稻谷）预算的通知》（桂财建〔</w:t>
      </w:r>
      <w:r>
        <w:rPr>
          <w:rFonts w:ascii="仿宋_GB2312" w:hAnsi="仿宋_GB2312" w:eastAsia="仿宋_GB2312" w:cs="仿宋_GB2312"/>
          <w:kern w:val="0"/>
          <w:sz w:val="32"/>
          <w:szCs w:val="32"/>
        </w:rPr>
        <w:t>2023</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46</w:t>
      </w:r>
      <w:r>
        <w:rPr>
          <w:rFonts w:hint="eastAsia" w:ascii="仿宋_GB2312" w:hAnsi="仿宋_GB2312" w:eastAsia="仿宋_GB2312" w:cs="仿宋_GB2312"/>
          <w:kern w:val="0"/>
          <w:sz w:val="32"/>
          <w:szCs w:val="32"/>
        </w:rPr>
        <w:t>号）</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，玉州区发展和改革局对照自治区分解下达的绩效目标，形成本区绩效自评报告报玉州区财政局审核后，上报上级主管部门，并抄送同级人大财经委。</w:t>
      </w:r>
    </w:p>
    <w:p w14:paraId="022CD667">
      <w:pPr>
        <w:spacing w:line="600" w:lineRule="exact"/>
        <w:textAlignment w:val="baseline"/>
        <w:rPr>
          <w:rFonts w:ascii="仿宋_GB2312" w:hAnsi="仿宋_GB2312" w:eastAsia="仿宋_GB2312" w:cs="仿宋_GB2312"/>
          <w:kern w:val="0"/>
          <w:sz w:val="32"/>
          <w:szCs w:val="32"/>
        </w:rPr>
      </w:pPr>
      <w:r>
        <w:rPr>
          <w:rFonts w:eastAsia="仿宋_GB2312"/>
          <w:kern w:val="0"/>
          <w:sz w:val="32"/>
          <w:szCs w:val="32"/>
        </w:rPr>
        <w:t xml:space="preserve">  </w:t>
      </w:r>
      <w:r>
        <w:rPr>
          <w:rFonts w:ascii="仿宋_GB2312" w:hAnsi="仿宋_GB2312" w:eastAsia="仿宋_GB2312" w:cs="仿宋_GB2312"/>
          <w:kern w:val="0"/>
          <w:sz w:val="32"/>
          <w:szCs w:val="32"/>
        </w:rPr>
        <w:t xml:space="preserve">  </w:t>
      </w:r>
    </w:p>
    <w:p w14:paraId="18D10DD7">
      <w:pPr>
        <w:spacing w:line="600" w:lineRule="exact"/>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粮食收购实施工作流程</w:t>
      </w:r>
    </w:p>
    <w:p w14:paraId="6ED60C50">
      <w:pPr>
        <w:spacing w:line="600" w:lineRule="exact"/>
        <w:ind w:firstLine="1292" w:firstLineChars="404"/>
        <w:jc w:val="left"/>
        <w:textAlignment w:val="baseline"/>
        <w:rPr>
          <w:rFonts w:ascii="黑体" w:hAnsi="黑体" w:eastAsia="黑体" w:cs="黑体"/>
          <w:sz w:val="32"/>
          <w:szCs w:val="32"/>
        </w:rPr>
      </w:pPr>
      <w:r>
        <w:rPr>
          <w:rFonts w:ascii="仿宋_GB2312" w:hAnsi="仿宋_GB2312" w:eastAsia="仿宋_GB2312" w:cs="仿宋_GB2312"/>
          <w:kern w:val="0"/>
          <w:sz w:val="32"/>
          <w:szCs w:val="32"/>
        </w:rPr>
        <w:t xml:space="preserve">  2.</w:t>
      </w:r>
      <w:r>
        <w:rPr>
          <w:rFonts w:ascii="仿宋_GB2312" w:hAnsi="仿宋_GB2312" w:eastAsia="仿宋_GB2312" w:cs="仿宋_GB2312"/>
          <w:spacing w:val="-17"/>
          <w:kern w:val="0"/>
          <w:sz w:val="32"/>
          <w:szCs w:val="32"/>
        </w:rPr>
        <w:t>2023</w:t>
      </w:r>
      <w:r>
        <w:rPr>
          <w:rFonts w:hint="eastAsia" w:ascii="仿宋_GB2312" w:hAnsi="仿宋_GB2312" w:eastAsia="仿宋_GB2312" w:cs="仿宋_GB2312"/>
          <w:spacing w:val="-17"/>
          <w:kern w:val="0"/>
          <w:sz w:val="32"/>
          <w:szCs w:val="32"/>
        </w:rPr>
        <w:t>年稻谷补贴粮食收购任务分解及补贴资金安排表</w:t>
      </w:r>
    </w:p>
    <w:p w14:paraId="7DFFE0BA">
      <w:pPr>
        <w:spacing w:line="600" w:lineRule="exact"/>
        <w:jc w:val="left"/>
        <w:textAlignment w:val="baseline"/>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9DCF5FF">
      <w:pPr>
        <w:spacing w:line="600" w:lineRule="exact"/>
        <w:ind w:firstLine="640"/>
        <w:jc w:val="left"/>
        <w:textAlignment w:val="baseline"/>
        <w:rPr>
          <w:rFonts w:ascii="黑体" w:hAnsi="黑体" w:eastAsia="黑体" w:cs="黑体"/>
          <w:sz w:val="32"/>
          <w:szCs w:val="32"/>
        </w:rPr>
      </w:pPr>
    </w:p>
    <w:p w14:paraId="45896464">
      <w:pPr>
        <w:widowControl/>
        <w:spacing w:line="600" w:lineRule="exact"/>
        <w:jc w:val="center"/>
        <w:textAlignment w:val="baseline"/>
        <w:rPr>
          <w:rFonts w:eastAsia="方正小标宋简体"/>
          <w:kern w:val="0"/>
          <w:sz w:val="44"/>
          <w:szCs w:val="44"/>
        </w:rPr>
      </w:pPr>
      <w:r>
        <w:rPr>
          <w:rFonts w:hint="eastAsia" w:eastAsia="方正小标宋简体"/>
          <w:kern w:val="0"/>
          <w:sz w:val="44"/>
          <w:szCs w:val="44"/>
        </w:rPr>
        <w:t>粮食收购实施工作流程</w:t>
      </w:r>
    </w:p>
    <w:p w14:paraId="3DAB57DA">
      <w:pPr>
        <w:pStyle w:val="18"/>
        <w:shd w:val="clear" w:color="auto" w:fill="auto"/>
        <w:spacing w:before="0" w:line="600" w:lineRule="exact"/>
        <w:ind w:firstLine="640" w:firstLineChars="200"/>
        <w:jc w:val="both"/>
        <w:textAlignment w:val="baseline"/>
        <w:rPr>
          <w:rFonts w:ascii="Times New Roman" w:hAnsi="Times New Roman" w:eastAsia="黑体"/>
          <w:sz w:val="32"/>
          <w:szCs w:val="32"/>
        </w:rPr>
      </w:pPr>
    </w:p>
    <w:p w14:paraId="1F365E30">
      <w:pPr>
        <w:pStyle w:val="18"/>
        <w:shd w:val="clear" w:color="auto" w:fill="auto"/>
        <w:spacing w:before="0" w:line="600" w:lineRule="exact"/>
        <w:ind w:firstLine="640" w:firstLineChars="200"/>
        <w:jc w:val="both"/>
        <w:textAlignment w:val="baseline"/>
        <w:rPr>
          <w:rFonts w:ascii="Times New Roman" w:hAnsi="Times New Roman" w:eastAsia="黑体"/>
          <w:sz w:val="32"/>
          <w:szCs w:val="32"/>
        </w:rPr>
      </w:pPr>
      <w:r>
        <w:rPr>
          <w:rFonts w:hint="eastAsia" w:ascii="Times New Roman" w:hAnsi="Times New Roman" w:eastAsia="黑体"/>
          <w:sz w:val="32"/>
          <w:szCs w:val="32"/>
        </w:rPr>
        <w:t>一、稻谷生产者售粮补贴及粮食收购补贴实施工作流程</w:t>
      </w:r>
    </w:p>
    <w:p w14:paraId="75730D59">
      <w:pPr>
        <w:spacing w:line="600" w:lineRule="exact"/>
        <w:ind w:firstLine="640" w:firstLineChars="200"/>
        <w:textAlignment w:val="baseline"/>
        <w:rPr>
          <w:rFonts w:eastAsia="楷体_GB2312"/>
          <w:sz w:val="32"/>
          <w:szCs w:val="32"/>
        </w:rPr>
      </w:pPr>
      <w:r>
        <w:rPr>
          <w:rFonts w:hint="eastAsia" w:eastAsia="楷体_GB2312"/>
          <w:sz w:val="32"/>
          <w:szCs w:val="32"/>
        </w:rPr>
        <w:t>（一）粮食收购的品种、质量、收购价格和收购时间。</w:t>
      </w:r>
    </w:p>
    <w:p w14:paraId="619D7523">
      <w:pPr>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收购品种、质量要求。粮食收购的品种为普通籼稻、优质稻（含专用稻）。收购普通籼稻质量指标应符国家标准稻谷（</w:t>
      </w:r>
      <w:r>
        <w:rPr>
          <w:rFonts w:ascii="仿宋_GB2312" w:hAnsi="仿宋_GB2312" w:eastAsia="仿宋_GB2312" w:cs="仿宋_GB2312"/>
          <w:sz w:val="32"/>
          <w:szCs w:val="32"/>
        </w:rPr>
        <w:t>GB 1350-2009</w:t>
      </w:r>
      <w:r>
        <w:rPr>
          <w:rFonts w:hint="eastAsia" w:ascii="仿宋_GB2312" w:hAnsi="仿宋_GB2312" w:eastAsia="仿宋_GB2312" w:cs="仿宋_GB2312"/>
          <w:sz w:val="32"/>
          <w:szCs w:val="32"/>
        </w:rPr>
        <w:t>）中等以上，优质稻应符合国家优质稻谷标准（</w:t>
      </w:r>
      <w:r>
        <w:rPr>
          <w:rFonts w:ascii="仿宋_GB2312" w:hAnsi="仿宋_GB2312" w:eastAsia="仿宋_GB2312" w:cs="仿宋_GB2312"/>
          <w:sz w:val="32"/>
          <w:szCs w:val="32"/>
        </w:rPr>
        <w:t>GB/T 17891-2017</w:t>
      </w:r>
      <w:r>
        <w:rPr>
          <w:rFonts w:hint="eastAsia" w:ascii="仿宋_GB2312" w:hAnsi="仿宋_GB2312" w:eastAsia="仿宋_GB2312" w:cs="仿宋_GB2312"/>
          <w:sz w:val="32"/>
          <w:szCs w:val="32"/>
        </w:rPr>
        <w:t>）三级以上，其中直链淀粉指标参照</w:t>
      </w:r>
      <w:r>
        <w:rPr>
          <w:rFonts w:ascii="仿宋_GB2312" w:hAnsi="仿宋_GB2312" w:eastAsia="仿宋_GB2312" w:cs="仿宋_GB2312"/>
          <w:sz w:val="32"/>
          <w:szCs w:val="32"/>
        </w:rPr>
        <w:t xml:space="preserve">2022 </w:t>
      </w:r>
      <w:r>
        <w:rPr>
          <w:rFonts w:hint="eastAsia" w:ascii="仿宋_GB2312" w:hAnsi="仿宋_GB2312" w:eastAsia="仿宋_GB2312" w:cs="仿宋_GB2312"/>
          <w:sz w:val="32"/>
          <w:szCs w:val="32"/>
        </w:rPr>
        <w:t>年相关规定执行。鉴于专用稻主要用于米粉加工用粮，质量指标按国家标准稻谷（</w:t>
      </w:r>
      <w:r>
        <w:rPr>
          <w:rFonts w:ascii="仿宋_GB2312" w:hAnsi="仿宋_GB2312" w:eastAsia="仿宋_GB2312" w:cs="仿宋_GB2312"/>
          <w:sz w:val="32"/>
          <w:szCs w:val="32"/>
        </w:rPr>
        <w:t>GB 1350-2009</w:t>
      </w:r>
      <w:r>
        <w:rPr>
          <w:rFonts w:hint="eastAsia" w:ascii="仿宋_GB2312" w:hAnsi="仿宋_GB2312" w:eastAsia="仿宋_GB2312" w:cs="仿宋_GB2312"/>
          <w:sz w:val="32"/>
          <w:szCs w:val="32"/>
        </w:rPr>
        <w:t>）中等以上要求。</w:t>
      </w:r>
    </w:p>
    <w:p w14:paraId="103B1858">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收购价格。普通籼稻</w:t>
      </w:r>
      <w:r>
        <w:rPr>
          <w:rFonts w:ascii="仿宋_GB2312" w:hAnsi="仿宋_GB2312" w:eastAsia="仿宋_GB2312" w:cs="仿宋_GB2312"/>
          <w:sz w:val="32"/>
          <w:szCs w:val="32"/>
        </w:rPr>
        <w:t>2.64</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公斤，优质早籼稻（含专用稻）</w:t>
      </w:r>
      <w:r>
        <w:rPr>
          <w:rFonts w:ascii="仿宋_GB2312" w:hAnsi="仿宋_GB2312" w:eastAsia="仿宋_GB2312" w:cs="仿宋_GB2312"/>
          <w:sz w:val="32"/>
          <w:szCs w:val="32"/>
        </w:rPr>
        <w:t>2.76</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公斤，优质晚籼稻</w:t>
      </w:r>
      <w:r>
        <w:rPr>
          <w:rFonts w:ascii="仿宋_GB2312" w:hAnsi="仿宋_GB2312" w:eastAsia="仿宋_GB2312" w:cs="仿宋_GB2312"/>
          <w:sz w:val="32"/>
          <w:szCs w:val="32"/>
        </w:rPr>
        <w:t>3.12</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斤。鉴于各地种植的优质稻品种繁多，品质差异较大，对少数品质特优的品种，在顺价销售的原则下，收购价格可适当上浮；对个别品质较差的品种，收购价格可以适当下浮，下浮后的收购价格不能低于国家规定的</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年稻谷最低收购价格。为适应优质稻市场价格变化，优质稻收购价格根据玉州区粮食收购企业建议价格由自治区储备粮集团公司商广粮发公司在上述情况及幅度内调整，相关粮食收购企业报区人民政府备案。</w:t>
      </w:r>
    </w:p>
    <w:p w14:paraId="5CD34B38">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收购时间。</w:t>
      </w:r>
      <w:r>
        <w:rPr>
          <w:rFonts w:hint="eastAsia" w:ascii="仿宋_GB2312" w:hAnsi="仿宋_GB2312" w:eastAsia="仿宋_GB2312" w:cs="仿宋_GB2312"/>
          <w:sz w:val="32"/>
          <w:szCs w:val="32"/>
        </w:rPr>
        <w:t>普通籼稻为</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日，优质稻为</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日。可根据本地实际情况，在此时间范围内确定本地的收购起止时间。</w:t>
      </w:r>
    </w:p>
    <w:p w14:paraId="06D7B012">
      <w:pPr>
        <w:spacing w:line="600" w:lineRule="exact"/>
        <w:ind w:firstLine="640" w:firstLineChars="200"/>
        <w:textAlignment w:val="baseline"/>
        <w:rPr>
          <w:rFonts w:eastAsia="楷体_GB2312"/>
          <w:sz w:val="32"/>
          <w:szCs w:val="32"/>
        </w:rPr>
      </w:pPr>
      <w:r>
        <w:rPr>
          <w:rFonts w:hint="eastAsia" w:eastAsia="楷体_GB2312"/>
          <w:sz w:val="32"/>
          <w:szCs w:val="32"/>
        </w:rPr>
        <w:t>（二）粮食收购计划的分解安排。</w:t>
      </w:r>
    </w:p>
    <w:p w14:paraId="243B230D">
      <w:pPr>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区人民政府按照自治区下达的粮食收购计划，根据本区种粮的实际情况，将计划分解到镇（街道）。</w:t>
      </w:r>
    </w:p>
    <w:p w14:paraId="72E50B6A">
      <w:pPr>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各镇（街道）人民政府（办事处）在充分考虑小农户利益的基础上，可根据本镇（街道）稻谷生产的实际情况，将区人民政府下达的粮食收购计划分解到村（居）委会和种植面积</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亩以上（双季稻水田面积为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亩以上）的种粮主体（含专业大户、家庭农场、农民合作社、农业企业等），计划分解经公示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天无异议后印发各村（居）委会，并送当地粮食行政主管部门、粮食收购企业、财政所。</w:t>
      </w:r>
    </w:p>
    <w:p w14:paraId="61C3F884">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村（居）委会根据当地的稻谷生产者实际种植面积（含在自己承包土地种植粮食的面积和耕种他人承包土地种植粮食的面积）填制《售粮计划安排表》，对镇（街道）人民政府（办事处）已安排种粮主体售粮计划的不再重复安排，经在村务公开栏</w:t>
      </w:r>
      <w:r>
        <w:rPr>
          <w:rFonts w:hint="eastAsia" w:ascii="仿宋_GB2312" w:hAnsi="仿宋_GB2312" w:eastAsia="仿宋_GB2312" w:cs="仿宋_GB2312"/>
          <w:spacing w:val="-6"/>
          <w:sz w:val="32"/>
          <w:szCs w:val="32"/>
        </w:rPr>
        <w:t>公示</w:t>
      </w:r>
      <w:r>
        <w:rPr>
          <w:rFonts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rPr>
        <w:t>天无异议，一式五份报镇（街道）人民政府（办事处）审核。</w:t>
      </w:r>
    </w:p>
    <w:p w14:paraId="3865D7DC">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镇（街道）人民政府（办事处）汇总村（居）委会和种植面积</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亩以上（双季稻水田面积为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亩以上）的种粮主体的售粮计划，审核盖章后自留一份，送当地粮食行政主管部门、粮食收购企业、财政所、村（居）委会各一份。</w:t>
      </w:r>
    </w:p>
    <w:p w14:paraId="436CD363">
      <w:pPr>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收购企业必须严格按照经镇（街道）人民政府（办事处）审核盖章后的计划底册标明的情况填制《售粮凭证单》，加盖公章后由村（居）委会发放给相关稻谷生产者（含种植面积</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亩以上（双季稻水田面积为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亩以上）的种粮主体）。</w:t>
      </w:r>
    </w:p>
    <w:p w14:paraId="4E924952">
      <w:pPr>
        <w:overflowPunct w:val="0"/>
        <w:spacing w:line="600" w:lineRule="exact"/>
        <w:ind w:firstLine="640" w:firstLineChars="200"/>
        <w:rPr>
          <w:rFonts w:eastAsia="楷体_GB2312"/>
          <w:sz w:val="32"/>
          <w:szCs w:val="32"/>
        </w:rPr>
      </w:pPr>
      <w:r>
        <w:rPr>
          <w:rFonts w:hint="eastAsia" w:eastAsia="楷体_GB2312"/>
          <w:sz w:val="32"/>
          <w:szCs w:val="32"/>
        </w:rPr>
        <w:t>（三）稻谷生产者售粮方式。</w:t>
      </w:r>
    </w:p>
    <w:p w14:paraId="5689D75E">
      <w:pPr>
        <w:spacing w:line="60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稻谷生产者按照售粮自愿的原则，可以选择以下方式进行售粮。</w:t>
      </w:r>
    </w:p>
    <w:p w14:paraId="0158814F">
      <w:pPr>
        <w:overflowPunct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方式一：自主售粮。</w:t>
      </w:r>
      <w:r>
        <w:rPr>
          <w:rFonts w:hint="eastAsia" w:ascii="仿宋_GB2312" w:hAnsi="仿宋_GB2312" w:eastAsia="仿宋_GB2312" w:cs="仿宋_GB2312"/>
          <w:sz w:val="32"/>
          <w:szCs w:val="32"/>
        </w:rPr>
        <w:t>稻谷生产者对所生产的粮食按《售粮凭证单》自主向收购企业售粮。</w:t>
      </w:r>
    </w:p>
    <w:p w14:paraId="238EBA96">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方式二：委托售粮。</w:t>
      </w:r>
      <w:r>
        <w:rPr>
          <w:rFonts w:hint="eastAsia" w:ascii="仿宋_GB2312" w:hAnsi="仿宋_GB2312" w:eastAsia="仿宋_GB2312" w:cs="仿宋_GB2312"/>
          <w:sz w:val="32"/>
          <w:szCs w:val="32"/>
        </w:rPr>
        <w:t>鉴于当前我区不少农村家庭缺少售粮劳动力和运输工具等实际情况，允许在市场监管部门注册并在补贴对象范围内的种粮主体兼职</w:t>
      </w:r>
      <w:r>
        <w:rPr>
          <w:rFonts w:hint="eastAsia" w:eastAsia="仿宋_GB2312"/>
          <w:sz w:val="32"/>
          <w:szCs w:val="32"/>
        </w:rPr>
        <w:t>代售粮食服务</w:t>
      </w:r>
      <w:r>
        <w:rPr>
          <w:rFonts w:hint="eastAsia" w:ascii="仿宋_GB2312" w:hAnsi="仿宋_GB2312" w:eastAsia="仿宋_GB2312" w:cs="仿宋_GB2312"/>
          <w:sz w:val="32"/>
          <w:szCs w:val="32"/>
        </w:rPr>
        <w:t>。种粮主体兼职</w:t>
      </w:r>
      <w:r>
        <w:rPr>
          <w:rFonts w:hint="eastAsia" w:eastAsia="仿宋_GB2312"/>
          <w:sz w:val="32"/>
          <w:szCs w:val="32"/>
        </w:rPr>
        <w:t>代售粮食服务</w:t>
      </w:r>
      <w:r>
        <w:rPr>
          <w:rFonts w:hint="eastAsia" w:ascii="仿宋_GB2312" w:hAnsi="仿宋_GB2312" w:eastAsia="仿宋_GB2312" w:cs="仿宋_GB2312"/>
          <w:sz w:val="32"/>
          <w:szCs w:val="32"/>
        </w:rPr>
        <w:t>须提供委托人的《售粮凭证单》和《委托销售粮食农户汇总表》。《委托销售粮食农户汇总表》中应提供兼职种粮主体的信息、委托销售稻谷农户姓名及住址、售粮品种及数量、稻谷收购价格、已收售粮补贴款、农户“一卡通”银行账号、联系电话等内容，并经委托销售粮食农户签字按手印确认。鼓励个体经纪人、家庭农场、农民合作社、</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粮食产后服务中心、农业企业等经营主体开展委托代售粮食服务，在开展代售服务过程须及时支付售粮款给粮食生产者，向收购企业提供《售粮凭证单》和《委托销售粮食农户汇总表》，售粮补贴通过“一卡通”支付给委托销售粮食生产者。</w:t>
      </w:r>
    </w:p>
    <w:p w14:paraId="2CE87488">
      <w:pPr>
        <w:spacing w:line="60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（四）粮食收购的流程。</w:t>
      </w:r>
    </w:p>
    <w:p w14:paraId="73CDE16A">
      <w:pPr>
        <w:overflowPunct w:val="0"/>
        <w:spacing w:line="600" w:lineRule="exact"/>
        <w:ind w:firstLine="640" w:firstLineChars="200"/>
        <w:rPr>
          <w:rFonts w:ascii="仿宋_GB2312" w:hAns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经</w:t>
      </w:r>
      <w:r>
        <w:rPr>
          <w:rFonts w:hint="eastAsia" w:ascii="仿宋_GB2312" w:hAnsi="仿宋_GB2312" w:eastAsia="仿宋_GB2312" w:cs="仿宋_GB2312"/>
          <w:sz w:val="32"/>
          <w:szCs w:val="32"/>
        </w:rPr>
        <w:t>玉州区发展和改革局推荐报自治区储备粮集团公司，已确定玉林市玉州区粮油贸易总公司为本辖区的粮食收购企业。经自治区储备粮集团公司择优确定粮食收购企业并与其签订《粮食委托收购合同》。在充分发挥国有粮食收储企业的粮食收购主渠道作用前提下，允许其他所有制粮食企业参与收购。</w:t>
      </w:r>
    </w:p>
    <w:p w14:paraId="72089EFC">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收购企业要在收粮现场张榜公示本区的收购计划以及收购价格、补贴标准、收购进度、粮食流通监管热线电话等情况，接受社会公众监督，并按《粮食委托收购合同》规定的区域收购当地当年生产的粮食。考虑到售粮时难以准确把握数量，往往出现多送或少送的现象，对超计划多送部分，收购企业可在不突破本企业收购计划的前提下，与其他售粮者少送部分进行调剂予以收购，原则上多送部分的调剂量最多不超过售粮计划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。粮食收购工作开展后，可根据收购进度和实际情况在不突破本地区收购计划总量的前提下，适时调整各镇（街道）收购计划。</w:t>
      </w:r>
    </w:p>
    <w:p w14:paraId="0FA28438">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粮食收购过程中，要坚持公开、公平、公正的原则。粮食收购要以稻谷生产者自愿为原则，不能用行政等手段强迫其卖粮，鼓励稻谷生产者积极按要求售粮。收购工作开展后，粮食收购企业要加强与相关村（居）委沟通联系，及时反馈粮食收购进展情况，对于已经安排的计划如果原申报主体不及时售粮或改变售粮意愿的，村（居）委可在不突破本村（社区）计划数量的情况下进行重新调整安排。</w:t>
      </w:r>
    </w:p>
    <w:p w14:paraId="0762D72D">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粮食收购企业要严格执行国家粮食质量标准，不得损害种粮农民和其他粮食主体的利益；及时向售粮者支付售粮款，不得拖欠；不得接受任何组织或者个人的委托代扣代缴任何税、费和其他款项。</w:t>
      </w:r>
    </w:p>
    <w:p w14:paraId="4969CC5E">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允许农民合作社等种粮主体兼职开展委托代售粮食服务，解决农民售粮过程中的实际困难。兼职代售粮食服务的种粮主体在获得委托售粮农户的粮食时须支付稻谷收购款，同时将垫付的售粮补贴款转入委托售粮农户“一卡通”银行账户，开展代售粮食服务过程中可以获得相应合理的劳务费用。</w:t>
      </w:r>
    </w:p>
    <w:p w14:paraId="09BAF2A4">
      <w:pPr>
        <w:spacing w:line="600" w:lineRule="exact"/>
        <w:ind w:firstLine="640" w:firstLineChars="200"/>
        <w:textAlignment w:val="baseline"/>
        <w:rPr>
          <w:rFonts w:eastAsia="楷体_GB2312"/>
          <w:sz w:val="32"/>
          <w:szCs w:val="32"/>
        </w:rPr>
      </w:pPr>
      <w:r>
        <w:rPr>
          <w:rFonts w:hint="eastAsia" w:eastAsia="楷体_GB2312"/>
          <w:sz w:val="32"/>
          <w:szCs w:val="32"/>
        </w:rPr>
        <w:t>（五）补贴资金兑现方式。</w:t>
      </w:r>
    </w:p>
    <w:p w14:paraId="2A4673FF">
      <w:pPr>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稻谷生产者售粮补贴资金具体兑现方式。</w:t>
      </w:r>
    </w:p>
    <w:p w14:paraId="6A828C9B">
      <w:pPr>
        <w:spacing w:line="600" w:lineRule="exact"/>
        <w:ind w:left="1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按照“谁主管、谁负责”原则，收购企业于稻谷生产者售粮后的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审核兼职开展委托代售粮食服务的种粮主体是否已将代垫补贴款转入委托售粮农户“一卡通”银行账户，在“一卡通”管理系统填写实际交售的粮食品种、数量、补贴金额等信息，上报本级粮食行政主管部门；本级粮食行政主管部门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个工作日内审核相关信息，重点审核兼职代售粮食服务的种粮主体垫付售粮补贴情况，审核确定后送相关镇（街道）财政部门；镇（街道）财政部门原则上应在材料齐全、信息准确的情况下于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个工作日内将补贴资金通过“一卡通”管理系统核拨给补贴对象或兼职代售粮食服务的种粮主体。</w:t>
      </w:r>
    </w:p>
    <w:p w14:paraId="729FA1FA">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一是稻谷生产者自主售粮的，稻谷生产者售粮补贴直接通过管理系统兑付到稻谷生产者“一卡通”银行账户。</w:t>
      </w:r>
    </w:p>
    <w:p w14:paraId="44EE0D1B">
      <w:pPr>
        <w:widowControl/>
        <w:overflowPunct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二是对兼职代售粮食服务的种粮主体，由收购企业提供委托售粮农户在“一卡通”管理系统中的银行账户，已通过“一卡通”银行账户向委托售粮者垫付售粮补贴的，须提供委托售粮者签字按手印确认的《委托销售粮食农户汇总表》，以及</w:t>
      </w:r>
      <w:r>
        <w:rPr>
          <w:rFonts w:hint="eastAsia" w:eastAsia="仿宋_GB2312"/>
          <w:sz w:val="32"/>
          <w:szCs w:val="32"/>
        </w:rPr>
        <w:t>垫付资金转入委托售粮者的</w:t>
      </w:r>
      <w:r>
        <w:rPr>
          <w:rFonts w:hint="eastAsia" w:ascii="仿宋_GB2312" w:eastAsia="仿宋_GB2312"/>
          <w:sz w:val="32"/>
          <w:szCs w:val="32"/>
        </w:rPr>
        <w:t>“一卡通”银行账户</w:t>
      </w:r>
      <w:r>
        <w:rPr>
          <w:rFonts w:hint="eastAsia" w:eastAsia="仿宋_GB2312"/>
          <w:sz w:val="32"/>
          <w:szCs w:val="32"/>
        </w:rPr>
        <w:t>证明，才可以通过</w:t>
      </w:r>
      <w:r>
        <w:rPr>
          <w:rFonts w:hint="eastAsia" w:ascii="仿宋_GB2312" w:eastAsia="仿宋_GB2312"/>
          <w:sz w:val="32"/>
          <w:szCs w:val="32"/>
        </w:rPr>
        <w:t>“一卡通”管理系统</w:t>
      </w:r>
      <w:r>
        <w:rPr>
          <w:rFonts w:hint="eastAsia" w:eastAsia="仿宋_GB2312"/>
          <w:sz w:val="32"/>
          <w:szCs w:val="32"/>
        </w:rPr>
        <w:t>申领垫付的稻谷生产者售粮补贴。</w:t>
      </w:r>
    </w:p>
    <w:p w14:paraId="39E1630C">
      <w:pPr>
        <w:spacing w:line="600" w:lineRule="exact"/>
        <w:ind w:firstLine="656" w:firstLineChars="205"/>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粮食收购补贴资金具体兑现方式。粮食收购补贴资金由自治区财政厅根据玉州区收购普通籼稻计划拨付至自治区储备粮集团公司，再由自治区储备粮集团公司根据玉州区收购进度预拨给相关粮食收购企业，最后根据粮食收购验收实绩，经自治区储</w:t>
      </w:r>
      <w:r>
        <w:rPr>
          <w:rFonts w:hint="eastAsia" w:ascii="仿宋_GB2312" w:hAnsi="仿宋_GB2312" w:eastAsia="仿宋_GB2312" w:cs="仿宋_GB2312"/>
          <w:spacing w:val="-6"/>
          <w:sz w:val="32"/>
          <w:szCs w:val="32"/>
        </w:rPr>
        <w:t>备粮集团公司审核上报自治区财政厅、粮食和储备局后据实核拨。</w:t>
      </w:r>
    </w:p>
    <w:p w14:paraId="198C20E8">
      <w:pPr>
        <w:spacing w:line="600" w:lineRule="exact"/>
        <w:ind w:firstLine="640" w:firstLineChars="200"/>
        <w:textAlignment w:val="baseline"/>
        <w:rPr>
          <w:rFonts w:eastAsia="楷体_GB2312"/>
          <w:sz w:val="32"/>
          <w:szCs w:val="32"/>
        </w:rPr>
      </w:pPr>
      <w:r>
        <w:rPr>
          <w:rFonts w:hint="eastAsia" w:eastAsia="楷体_GB2312"/>
          <w:sz w:val="32"/>
          <w:szCs w:val="32"/>
        </w:rPr>
        <w:t>（六）收购粮食的粮权及其他。</w:t>
      </w:r>
    </w:p>
    <w:p w14:paraId="38B6C163">
      <w:pPr>
        <w:spacing w:line="600" w:lineRule="exact"/>
        <w:ind w:firstLine="640" w:firstLineChars="200"/>
        <w:textAlignment w:val="baseline"/>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粮权及用途。收购粮食的粮权归自治区人民政府。对转为自治区储备收购的粮食，由自治区储备粮集团公司组织转储验收。普通籼稻主要用于自治区本级储备粮轮换和充实库存。优质稻（含专用稻）全部用于自治区本级储备，由广粮发公司统一承储并负责包干轮换。</w:t>
      </w:r>
      <w:r>
        <w:rPr>
          <w:rFonts w:hint="eastAsia" w:eastAsia="仿宋_GB2312"/>
          <w:sz w:val="32"/>
          <w:szCs w:val="32"/>
        </w:rPr>
        <w:t>收购粮食的贷款利息、保管费用按自治区储备粮管理规定执行。</w:t>
      </w:r>
    </w:p>
    <w:p w14:paraId="4A92186A">
      <w:pPr>
        <w:spacing w:line="600" w:lineRule="exact"/>
        <w:ind w:firstLine="640" w:firstLineChars="200"/>
        <w:textAlignment w:val="baseline"/>
        <w:rPr>
          <w:rFonts w:ascii="仿宋_GB2312" w:eastAsia="仿宋_GB2312"/>
          <w:sz w:val="32"/>
          <w:szCs w:val="32"/>
        </w:rPr>
      </w:pPr>
      <w:r>
        <w:rPr>
          <w:rFonts w:hint="eastAsia" w:ascii="仿宋_GB2312" w:eastAsia="仿宋_GB2312"/>
          <w:sz w:val="32"/>
          <w:szCs w:val="32"/>
        </w:rPr>
        <w:t>留用玉州区本级转储的粮食可按规定向自治区</w:t>
      </w:r>
      <w:r>
        <w:rPr>
          <w:rFonts w:hint="eastAsia" w:eastAsia="仿宋_GB2312"/>
          <w:sz w:val="32"/>
          <w:szCs w:val="32"/>
        </w:rPr>
        <w:t>粮食和储备局</w:t>
      </w:r>
      <w:r>
        <w:rPr>
          <w:rFonts w:hint="eastAsia" w:ascii="仿宋_GB2312" w:eastAsia="仿宋_GB2312"/>
          <w:sz w:val="32"/>
          <w:szCs w:val="32"/>
        </w:rPr>
        <w:t>提出申请，由自治区粮食和储备局、财政厅视粮食市场及收购情况予以审定。未经批准，不得动用收购的粮食。</w:t>
      </w:r>
    </w:p>
    <w:p w14:paraId="3B9BED43">
      <w:pPr>
        <w:spacing w:line="600" w:lineRule="exact"/>
        <w:ind w:firstLine="640"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收购粮食的调拨。粮食收购企业必须严格执行自治区下达的调拨计划，配合自治区储备粮集团公司做好粮食调拨工作，对拒不执行计划、不配合调拨的单位，自治区不予拨付利息、费用补贴直至取消来年粮食收购资格。</w:t>
      </w:r>
    </w:p>
    <w:p w14:paraId="062B644F">
      <w:pPr>
        <w:spacing w:line="600" w:lineRule="exact"/>
        <w:ind w:firstLine="640" w:firstLineChars="200"/>
        <w:textAlignment w:val="baseline"/>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卫生指标超标粮食的处置。对卫生指标超标粮食，必须严格按照国家有关规定进行处置，处置费用按自治区人民政府有关规定执行。</w:t>
      </w:r>
    </w:p>
    <w:p w14:paraId="75EAC559">
      <w:pPr>
        <w:spacing w:line="60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（七）加强稻谷补贴粮食收购工作的监督检查。</w:t>
      </w:r>
    </w:p>
    <w:p w14:paraId="19463A3E">
      <w:pPr>
        <w:spacing w:line="60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粮食行政主管部门要按照粮食安全党政同责的要求，建立部门联动和区域协调监管机制，</w:t>
      </w:r>
      <w:r>
        <w:rPr>
          <w:rFonts w:hint="eastAsia" w:eastAsia="仿宋_GB2312"/>
          <w:sz w:val="32"/>
          <w:szCs w:val="32"/>
        </w:rPr>
        <w:t>积极适应收购市场的新形势新变化，</w:t>
      </w:r>
      <w:r>
        <w:rPr>
          <w:rFonts w:hint="eastAsia" w:ascii="仿宋_GB2312" w:hAnsi="仿宋_GB2312" w:eastAsia="仿宋_GB2312" w:cs="仿宋_GB2312"/>
          <w:sz w:val="32"/>
          <w:szCs w:val="32"/>
        </w:rPr>
        <w:t>切实加强对</w:t>
      </w:r>
      <w:r>
        <w:rPr>
          <w:rFonts w:hint="eastAsia" w:eastAsia="仿宋_GB2312"/>
          <w:sz w:val="32"/>
          <w:szCs w:val="32"/>
        </w:rPr>
        <w:t>稻谷补贴</w:t>
      </w:r>
      <w:r>
        <w:rPr>
          <w:rFonts w:hint="eastAsia" w:ascii="仿宋_GB2312" w:hAnsi="仿宋_GB2312" w:eastAsia="仿宋_GB2312" w:cs="仿宋_GB2312"/>
          <w:sz w:val="32"/>
          <w:szCs w:val="32"/>
        </w:rPr>
        <w:t>粮食收购工作</w:t>
      </w:r>
      <w:r>
        <w:rPr>
          <w:rFonts w:hint="eastAsia" w:eastAsia="仿宋_GB2312"/>
          <w:sz w:val="32"/>
          <w:szCs w:val="32"/>
        </w:rPr>
        <w:t>各环节</w:t>
      </w:r>
      <w:r>
        <w:rPr>
          <w:rFonts w:hint="eastAsia" w:ascii="仿宋_GB2312" w:hAnsi="仿宋_GB2312" w:eastAsia="仿宋_GB2312" w:cs="仿宋_GB2312"/>
          <w:sz w:val="32"/>
          <w:szCs w:val="32"/>
        </w:rPr>
        <w:t>的监督检查，</w:t>
      </w:r>
      <w:r>
        <w:rPr>
          <w:rFonts w:hint="eastAsia" w:eastAsia="仿宋_GB2312"/>
          <w:sz w:val="32"/>
          <w:szCs w:val="32"/>
        </w:rPr>
        <w:t>确保全区粮食收购工作顺利进行，切实保护种粮农民利益。</w:t>
      </w:r>
    </w:p>
    <w:p w14:paraId="0C78B484">
      <w:pPr>
        <w:pageBreakBefore/>
        <w:spacing w:line="60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1EA835F0">
      <w:pPr>
        <w:overflowPunct w:val="0"/>
        <w:spacing w:line="600" w:lineRule="exact"/>
        <w:jc w:val="center"/>
        <w:rPr>
          <w:rFonts w:eastAsia="方正小标宋简体"/>
          <w:kern w:val="0"/>
          <w:sz w:val="40"/>
          <w:szCs w:val="40"/>
        </w:rPr>
      </w:pPr>
    </w:p>
    <w:tbl>
      <w:tblPr>
        <w:tblStyle w:val="7"/>
        <w:tblW w:w="8700" w:type="dxa"/>
        <w:tblInd w:w="93" w:type="dxa"/>
        <w:tblLayout w:type="fixed"/>
        <w:tblCellMar>
          <w:top w:w="0" w:type="dxa"/>
          <w:left w:w="108" w:type="dxa"/>
          <w:bottom w:w="0" w:type="dxa"/>
          <w:right w:w="108" w:type="dxa"/>
        </w:tblCellMar>
      </w:tblPr>
      <w:tblGrid>
        <w:gridCol w:w="2114"/>
        <w:gridCol w:w="950"/>
        <w:gridCol w:w="1233"/>
        <w:gridCol w:w="1717"/>
        <w:gridCol w:w="1516"/>
        <w:gridCol w:w="1170"/>
      </w:tblGrid>
      <w:tr w14:paraId="3E383EEA">
        <w:tblPrEx>
          <w:tblCellMar>
            <w:top w:w="0" w:type="dxa"/>
            <w:left w:w="108" w:type="dxa"/>
            <w:bottom w:w="0" w:type="dxa"/>
            <w:right w:w="108" w:type="dxa"/>
          </w:tblCellMar>
        </w:tblPrEx>
        <w:trPr>
          <w:trHeight w:val="1080" w:hRule="atLeast"/>
        </w:trPr>
        <w:tc>
          <w:tcPr>
            <w:tcW w:w="8700" w:type="dxa"/>
            <w:gridSpan w:val="6"/>
            <w:tcBorders>
              <w:top w:val="nil"/>
              <w:left w:val="nil"/>
              <w:bottom w:val="nil"/>
              <w:right w:val="nil"/>
            </w:tcBorders>
            <w:noWrap/>
            <w:vAlign w:val="center"/>
          </w:tcPr>
          <w:p w14:paraId="42120663">
            <w:pPr>
              <w:widowControl/>
              <w:spacing w:line="600" w:lineRule="exact"/>
              <w:jc w:val="center"/>
              <w:rPr>
                <w:rFonts w:ascii="方正小标宋简体" w:hAnsi="宋体" w:eastAsia="方正小标宋简体" w:cs="宋体"/>
                <w:kern w:val="0"/>
                <w:sz w:val="40"/>
                <w:szCs w:val="36"/>
              </w:rPr>
            </w:pPr>
            <w:r>
              <w:rPr>
                <w:rFonts w:hint="eastAsia" w:ascii="方正小标宋简体" w:hAnsi="宋体" w:eastAsia="方正小标宋简体" w:cs="宋体"/>
                <w:kern w:val="0"/>
                <w:sz w:val="40"/>
                <w:szCs w:val="36"/>
              </w:rPr>
              <w:t>玉州区</w:t>
            </w:r>
            <w:r>
              <w:rPr>
                <w:rFonts w:ascii="方正小标宋简体" w:hAnsi="宋体" w:eastAsia="方正小标宋简体" w:cs="宋体"/>
                <w:kern w:val="0"/>
                <w:sz w:val="40"/>
                <w:szCs w:val="36"/>
              </w:rPr>
              <w:t>2023</w:t>
            </w:r>
            <w:r>
              <w:rPr>
                <w:rFonts w:hint="eastAsia" w:ascii="方正小标宋简体" w:hAnsi="宋体" w:eastAsia="方正小标宋简体" w:cs="宋体"/>
                <w:kern w:val="0"/>
                <w:sz w:val="40"/>
                <w:szCs w:val="36"/>
              </w:rPr>
              <w:t>年粮食收购任务分解</w:t>
            </w:r>
          </w:p>
          <w:p w14:paraId="5FDF2CAE">
            <w:pPr>
              <w:widowControl/>
              <w:spacing w:line="600" w:lineRule="exact"/>
              <w:jc w:val="center"/>
              <w:rPr>
                <w:rFonts w:ascii="方正小标宋简体" w:hAnsi="宋体" w:eastAsia="方正小标宋简体" w:cs="宋体"/>
                <w:kern w:val="0"/>
                <w:sz w:val="40"/>
                <w:szCs w:val="36"/>
              </w:rPr>
            </w:pPr>
            <w:r>
              <w:rPr>
                <w:rFonts w:hint="eastAsia" w:ascii="方正小标宋简体" w:hAnsi="宋体" w:eastAsia="方正小标宋简体" w:cs="宋体"/>
                <w:kern w:val="0"/>
                <w:sz w:val="40"/>
                <w:szCs w:val="36"/>
              </w:rPr>
              <w:t>及补贴资金安排表</w:t>
            </w:r>
          </w:p>
        </w:tc>
      </w:tr>
      <w:tr w14:paraId="5B366B6F">
        <w:tblPrEx>
          <w:tblCellMar>
            <w:top w:w="0" w:type="dxa"/>
            <w:left w:w="108" w:type="dxa"/>
            <w:bottom w:w="0" w:type="dxa"/>
            <w:right w:w="108" w:type="dxa"/>
          </w:tblCellMar>
        </w:tblPrEx>
        <w:trPr>
          <w:trHeight w:val="720" w:hRule="atLeast"/>
        </w:trPr>
        <w:tc>
          <w:tcPr>
            <w:tcW w:w="8700" w:type="dxa"/>
            <w:gridSpan w:val="6"/>
            <w:tcBorders>
              <w:top w:val="nil"/>
              <w:left w:val="nil"/>
              <w:bottom w:val="single" w:color="auto" w:sz="4" w:space="0"/>
              <w:right w:val="nil"/>
            </w:tcBorders>
            <w:noWrap/>
            <w:vAlign w:val="center"/>
          </w:tcPr>
          <w:p w14:paraId="058BC770">
            <w:pPr>
              <w:widowControl/>
              <w:spacing w:line="600" w:lineRule="exact"/>
              <w:jc w:val="center"/>
              <w:rPr>
                <w:rFonts w:ascii="宋体" w:cs="宋体"/>
                <w:kern w:val="0"/>
                <w:sz w:val="32"/>
                <w:szCs w:val="32"/>
              </w:rPr>
            </w:pPr>
            <w:r>
              <w:rPr>
                <w:rFonts w:ascii="宋体" w:hAnsi="宋体" w:cs="宋体"/>
                <w:kern w:val="0"/>
                <w:sz w:val="32"/>
                <w:szCs w:val="32"/>
              </w:rPr>
              <w:t xml:space="preserve">                         </w:t>
            </w:r>
            <w:r>
              <w:rPr>
                <w:rFonts w:hint="eastAsia" w:ascii="宋体" w:hAnsi="宋体" w:cs="宋体"/>
                <w:kern w:val="0"/>
                <w:sz w:val="32"/>
                <w:szCs w:val="32"/>
              </w:rPr>
              <w:t>单位：吨、万元</w:t>
            </w:r>
          </w:p>
        </w:tc>
      </w:tr>
      <w:tr w14:paraId="1220034D">
        <w:tblPrEx>
          <w:tblCellMar>
            <w:top w:w="0" w:type="dxa"/>
            <w:left w:w="108" w:type="dxa"/>
            <w:bottom w:w="0" w:type="dxa"/>
            <w:right w:w="108" w:type="dxa"/>
          </w:tblCellMar>
        </w:tblPrEx>
        <w:trPr>
          <w:trHeight w:val="524" w:hRule="atLeast"/>
        </w:trPr>
        <w:tc>
          <w:tcPr>
            <w:tcW w:w="2114" w:type="dxa"/>
            <w:vMerge w:val="restart"/>
            <w:tcBorders>
              <w:top w:val="nil"/>
              <w:left w:val="single" w:color="auto" w:sz="4" w:space="0"/>
              <w:bottom w:val="single" w:color="auto" w:sz="4" w:space="0"/>
              <w:right w:val="single" w:color="auto" w:sz="4" w:space="0"/>
              <w:tl2br w:val="single" w:color="auto" w:sz="4" w:space="0"/>
            </w:tcBorders>
            <w:vAlign w:val="center"/>
          </w:tcPr>
          <w:p w14:paraId="16C02DC7">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w:t>
            </w:r>
          </w:p>
          <w:p w14:paraId="47585AE2">
            <w:pPr>
              <w:spacing w:line="600" w:lineRule="exact"/>
              <w:ind w:firstLine="640" w:firstLineChars="200"/>
              <w:rPr>
                <w:rFonts w:ascii="仿宋_GB2312" w:hAnsi="仿宋_GB2312" w:eastAsia="仿宋_GB2312" w:cs="仿宋_GB2312"/>
                <w:sz w:val="32"/>
                <w:szCs w:val="32"/>
              </w:rPr>
            </w:pPr>
          </w:p>
          <w:p w14:paraId="5B7D7CC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3900" w:type="dxa"/>
            <w:gridSpan w:val="3"/>
            <w:tcBorders>
              <w:top w:val="single" w:color="auto" w:sz="4" w:space="0"/>
              <w:left w:val="nil"/>
              <w:bottom w:val="single" w:color="auto" w:sz="4" w:space="0"/>
              <w:right w:val="single" w:color="auto" w:sz="4" w:space="0"/>
            </w:tcBorders>
            <w:noWrap/>
            <w:vAlign w:val="center"/>
          </w:tcPr>
          <w:p w14:paraId="358200B7">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年粮食收购任务分解</w:t>
            </w:r>
          </w:p>
        </w:tc>
        <w:tc>
          <w:tcPr>
            <w:tcW w:w="1516" w:type="dxa"/>
            <w:vMerge w:val="restart"/>
            <w:tcBorders>
              <w:top w:val="nil"/>
              <w:left w:val="single" w:color="auto" w:sz="4" w:space="0"/>
              <w:bottom w:val="single" w:color="000000" w:sz="4" w:space="0"/>
              <w:right w:val="single" w:color="auto" w:sz="4" w:space="0"/>
            </w:tcBorders>
            <w:vAlign w:val="center"/>
          </w:tcPr>
          <w:p w14:paraId="18AC0AAB">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补贴资金</w:t>
            </w:r>
          </w:p>
        </w:tc>
        <w:tc>
          <w:tcPr>
            <w:tcW w:w="1170" w:type="dxa"/>
            <w:vMerge w:val="restart"/>
            <w:tcBorders>
              <w:top w:val="nil"/>
              <w:left w:val="single" w:color="auto" w:sz="4" w:space="0"/>
              <w:bottom w:val="single" w:color="000000" w:sz="4" w:space="0"/>
              <w:right w:val="single" w:color="auto" w:sz="4" w:space="0"/>
            </w:tcBorders>
            <w:vAlign w:val="center"/>
          </w:tcPr>
          <w:p w14:paraId="55AB7709">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0242D7DB">
        <w:tblPrEx>
          <w:tblCellMar>
            <w:top w:w="0" w:type="dxa"/>
            <w:left w:w="108" w:type="dxa"/>
            <w:bottom w:w="0" w:type="dxa"/>
            <w:right w:w="108" w:type="dxa"/>
          </w:tblCellMar>
        </w:tblPrEx>
        <w:trPr>
          <w:trHeight w:val="1033" w:hRule="atLeast"/>
        </w:trPr>
        <w:tc>
          <w:tcPr>
            <w:tcW w:w="2114" w:type="dxa"/>
            <w:vMerge w:val="continue"/>
            <w:tcBorders>
              <w:top w:val="nil"/>
              <w:left w:val="single" w:color="auto" w:sz="4" w:space="0"/>
              <w:bottom w:val="single" w:color="auto" w:sz="4" w:space="0"/>
              <w:right w:val="single" w:color="auto" w:sz="4" w:space="0"/>
            </w:tcBorders>
            <w:vAlign w:val="center"/>
          </w:tcPr>
          <w:p w14:paraId="2A60E91D">
            <w:pPr>
              <w:spacing w:line="600" w:lineRule="exact"/>
              <w:ind w:firstLine="640" w:firstLineChars="200"/>
              <w:rPr>
                <w:rFonts w:ascii="仿宋_GB2312" w:hAnsi="仿宋_GB2312" w:eastAsia="仿宋_GB2312" w:cs="仿宋_GB2312"/>
                <w:sz w:val="32"/>
                <w:szCs w:val="32"/>
              </w:rPr>
            </w:pPr>
          </w:p>
        </w:tc>
        <w:tc>
          <w:tcPr>
            <w:tcW w:w="950" w:type="dxa"/>
            <w:tcBorders>
              <w:top w:val="nil"/>
              <w:left w:val="nil"/>
              <w:bottom w:val="single" w:color="auto" w:sz="4" w:space="0"/>
              <w:right w:val="single" w:color="auto" w:sz="4" w:space="0"/>
            </w:tcBorders>
            <w:noWrap/>
            <w:vAlign w:val="center"/>
          </w:tcPr>
          <w:p w14:paraId="278716E1">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233" w:type="dxa"/>
            <w:tcBorders>
              <w:top w:val="nil"/>
              <w:left w:val="nil"/>
              <w:bottom w:val="single" w:color="auto" w:sz="4" w:space="0"/>
              <w:right w:val="single" w:color="auto" w:sz="4" w:space="0"/>
            </w:tcBorders>
            <w:noWrap/>
            <w:vAlign w:val="center"/>
          </w:tcPr>
          <w:p w14:paraId="3C046F61">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普通稻</w:t>
            </w:r>
          </w:p>
        </w:tc>
        <w:tc>
          <w:tcPr>
            <w:tcW w:w="1717" w:type="dxa"/>
            <w:tcBorders>
              <w:top w:val="nil"/>
              <w:left w:val="nil"/>
              <w:bottom w:val="single" w:color="auto" w:sz="4" w:space="0"/>
              <w:right w:val="single" w:color="auto" w:sz="4" w:space="0"/>
            </w:tcBorders>
            <w:vAlign w:val="center"/>
          </w:tcPr>
          <w:p w14:paraId="13DCD52A">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优质稻（含专用稻）</w:t>
            </w:r>
          </w:p>
        </w:tc>
        <w:tc>
          <w:tcPr>
            <w:tcW w:w="1516" w:type="dxa"/>
            <w:vMerge w:val="continue"/>
            <w:tcBorders>
              <w:top w:val="nil"/>
              <w:left w:val="single" w:color="auto" w:sz="4" w:space="0"/>
              <w:bottom w:val="single" w:color="000000" w:sz="4" w:space="0"/>
              <w:right w:val="single" w:color="auto" w:sz="4" w:space="0"/>
            </w:tcBorders>
            <w:vAlign w:val="center"/>
          </w:tcPr>
          <w:p w14:paraId="34721C9C">
            <w:pPr>
              <w:spacing w:line="600" w:lineRule="exact"/>
              <w:ind w:firstLine="640" w:firstLineChars="200"/>
              <w:rPr>
                <w:rFonts w:ascii="仿宋_GB2312" w:hAnsi="仿宋_GB2312" w:eastAsia="仿宋_GB2312" w:cs="仿宋_GB2312"/>
                <w:sz w:val="32"/>
                <w:szCs w:val="32"/>
              </w:rPr>
            </w:pPr>
          </w:p>
        </w:tc>
        <w:tc>
          <w:tcPr>
            <w:tcW w:w="1170" w:type="dxa"/>
            <w:vMerge w:val="continue"/>
            <w:tcBorders>
              <w:top w:val="nil"/>
              <w:left w:val="single" w:color="auto" w:sz="4" w:space="0"/>
              <w:bottom w:val="single" w:color="000000" w:sz="4" w:space="0"/>
              <w:right w:val="single" w:color="auto" w:sz="4" w:space="0"/>
            </w:tcBorders>
            <w:vAlign w:val="center"/>
          </w:tcPr>
          <w:p w14:paraId="13CAF990">
            <w:pPr>
              <w:spacing w:line="600" w:lineRule="exact"/>
              <w:ind w:firstLine="640" w:firstLineChars="200"/>
              <w:rPr>
                <w:rFonts w:ascii="仿宋_GB2312" w:hAnsi="仿宋_GB2312" w:eastAsia="仿宋_GB2312" w:cs="仿宋_GB2312"/>
                <w:sz w:val="32"/>
                <w:szCs w:val="32"/>
              </w:rPr>
            </w:pPr>
          </w:p>
        </w:tc>
      </w:tr>
      <w:tr w14:paraId="19649DF6">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760C2347">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全区合计</w:t>
            </w:r>
          </w:p>
        </w:tc>
        <w:tc>
          <w:tcPr>
            <w:tcW w:w="950" w:type="dxa"/>
            <w:tcBorders>
              <w:top w:val="nil"/>
              <w:left w:val="nil"/>
              <w:bottom w:val="single" w:color="auto" w:sz="4" w:space="0"/>
              <w:right w:val="single" w:color="auto" w:sz="4" w:space="0"/>
            </w:tcBorders>
            <w:noWrap/>
            <w:vAlign w:val="center"/>
          </w:tcPr>
          <w:p w14:paraId="4787C9A0">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2500</w:t>
            </w:r>
          </w:p>
        </w:tc>
        <w:tc>
          <w:tcPr>
            <w:tcW w:w="1233" w:type="dxa"/>
            <w:tcBorders>
              <w:top w:val="nil"/>
              <w:left w:val="nil"/>
              <w:bottom w:val="single" w:color="auto" w:sz="4" w:space="0"/>
              <w:right w:val="single" w:color="auto" w:sz="4" w:space="0"/>
            </w:tcBorders>
            <w:noWrap/>
            <w:vAlign w:val="center"/>
          </w:tcPr>
          <w:p w14:paraId="6AE268A7">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1500</w:t>
            </w:r>
          </w:p>
        </w:tc>
        <w:tc>
          <w:tcPr>
            <w:tcW w:w="1717" w:type="dxa"/>
            <w:tcBorders>
              <w:top w:val="nil"/>
              <w:left w:val="nil"/>
              <w:bottom w:val="single" w:color="auto" w:sz="4" w:space="0"/>
              <w:right w:val="single" w:color="auto" w:sz="4" w:space="0"/>
            </w:tcBorders>
            <w:noWrap/>
            <w:vAlign w:val="center"/>
          </w:tcPr>
          <w:p w14:paraId="3C85F14C">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1000</w:t>
            </w:r>
          </w:p>
        </w:tc>
        <w:tc>
          <w:tcPr>
            <w:tcW w:w="1516" w:type="dxa"/>
            <w:tcBorders>
              <w:top w:val="nil"/>
              <w:left w:val="nil"/>
              <w:bottom w:val="single" w:color="auto" w:sz="4" w:space="0"/>
              <w:right w:val="single" w:color="auto" w:sz="4" w:space="0"/>
            </w:tcBorders>
            <w:noWrap/>
            <w:vAlign w:val="center"/>
          </w:tcPr>
          <w:p w14:paraId="756ADB84">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82</w:t>
            </w:r>
          </w:p>
        </w:tc>
        <w:tc>
          <w:tcPr>
            <w:tcW w:w="1170" w:type="dxa"/>
            <w:tcBorders>
              <w:top w:val="nil"/>
              <w:left w:val="nil"/>
              <w:bottom w:val="single" w:color="auto" w:sz="4" w:space="0"/>
              <w:right w:val="single" w:color="auto" w:sz="4" w:space="0"/>
            </w:tcBorders>
            <w:noWrap/>
            <w:vAlign w:val="center"/>
          </w:tcPr>
          <w:p w14:paraId="5186D5C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7C36D0CA">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2B5FABA2">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南江街道</w:t>
            </w:r>
          </w:p>
        </w:tc>
        <w:tc>
          <w:tcPr>
            <w:tcW w:w="950" w:type="dxa"/>
            <w:tcBorders>
              <w:top w:val="nil"/>
              <w:left w:val="nil"/>
              <w:bottom w:val="single" w:color="auto" w:sz="4" w:space="0"/>
              <w:right w:val="single" w:color="auto" w:sz="4" w:space="0"/>
            </w:tcBorders>
            <w:noWrap/>
            <w:vAlign w:val="center"/>
          </w:tcPr>
          <w:p w14:paraId="54786721">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330</w:t>
            </w:r>
          </w:p>
        </w:tc>
        <w:tc>
          <w:tcPr>
            <w:tcW w:w="1233" w:type="dxa"/>
            <w:tcBorders>
              <w:top w:val="nil"/>
              <w:left w:val="nil"/>
              <w:bottom w:val="single" w:color="auto" w:sz="4" w:space="0"/>
              <w:right w:val="single" w:color="auto" w:sz="4" w:space="0"/>
            </w:tcBorders>
            <w:noWrap/>
            <w:vAlign w:val="center"/>
          </w:tcPr>
          <w:p w14:paraId="4EC183E5">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230</w:t>
            </w:r>
          </w:p>
        </w:tc>
        <w:tc>
          <w:tcPr>
            <w:tcW w:w="1717" w:type="dxa"/>
            <w:tcBorders>
              <w:top w:val="nil"/>
              <w:left w:val="nil"/>
              <w:bottom w:val="single" w:color="auto" w:sz="4" w:space="0"/>
              <w:right w:val="single" w:color="auto" w:sz="4" w:space="0"/>
            </w:tcBorders>
            <w:noWrap/>
            <w:vAlign w:val="center"/>
          </w:tcPr>
          <w:p w14:paraId="0AA73879">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100</w:t>
            </w:r>
          </w:p>
        </w:tc>
        <w:tc>
          <w:tcPr>
            <w:tcW w:w="1516" w:type="dxa"/>
            <w:tcBorders>
              <w:top w:val="nil"/>
              <w:left w:val="nil"/>
              <w:bottom w:val="single" w:color="auto" w:sz="4" w:space="0"/>
              <w:right w:val="single" w:color="auto" w:sz="4" w:space="0"/>
            </w:tcBorders>
            <w:noWrap/>
            <w:vAlign w:val="center"/>
          </w:tcPr>
          <w:p w14:paraId="4A0444F7">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10.44</w:t>
            </w:r>
          </w:p>
        </w:tc>
        <w:tc>
          <w:tcPr>
            <w:tcW w:w="1170" w:type="dxa"/>
            <w:tcBorders>
              <w:top w:val="nil"/>
              <w:left w:val="nil"/>
              <w:bottom w:val="single" w:color="auto" w:sz="4" w:space="0"/>
              <w:right w:val="single" w:color="auto" w:sz="4" w:space="0"/>
            </w:tcBorders>
            <w:noWrap/>
            <w:vAlign w:val="center"/>
          </w:tcPr>
          <w:p w14:paraId="4DEE0E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7827179A">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47C8C049">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名山街道</w:t>
            </w:r>
          </w:p>
        </w:tc>
        <w:tc>
          <w:tcPr>
            <w:tcW w:w="950" w:type="dxa"/>
            <w:tcBorders>
              <w:top w:val="nil"/>
              <w:left w:val="nil"/>
              <w:bottom w:val="single" w:color="auto" w:sz="4" w:space="0"/>
              <w:right w:val="single" w:color="auto" w:sz="4" w:space="0"/>
            </w:tcBorders>
            <w:noWrap/>
            <w:vAlign w:val="center"/>
          </w:tcPr>
          <w:p w14:paraId="4D74AD3F">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130</w:t>
            </w:r>
          </w:p>
        </w:tc>
        <w:tc>
          <w:tcPr>
            <w:tcW w:w="1233" w:type="dxa"/>
            <w:tcBorders>
              <w:top w:val="nil"/>
              <w:left w:val="nil"/>
              <w:bottom w:val="single" w:color="auto" w:sz="4" w:space="0"/>
              <w:right w:val="single" w:color="auto" w:sz="4" w:space="0"/>
            </w:tcBorders>
            <w:noWrap/>
            <w:vAlign w:val="center"/>
          </w:tcPr>
          <w:p w14:paraId="2763C97B">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80</w:t>
            </w:r>
          </w:p>
        </w:tc>
        <w:tc>
          <w:tcPr>
            <w:tcW w:w="1717" w:type="dxa"/>
            <w:tcBorders>
              <w:top w:val="nil"/>
              <w:left w:val="nil"/>
              <w:bottom w:val="single" w:color="auto" w:sz="4" w:space="0"/>
              <w:right w:val="single" w:color="auto" w:sz="4" w:space="0"/>
            </w:tcBorders>
            <w:noWrap/>
            <w:vAlign w:val="center"/>
          </w:tcPr>
          <w:p w14:paraId="56B4E35B">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50</w:t>
            </w:r>
          </w:p>
        </w:tc>
        <w:tc>
          <w:tcPr>
            <w:tcW w:w="1516" w:type="dxa"/>
            <w:tcBorders>
              <w:top w:val="nil"/>
              <w:left w:val="nil"/>
              <w:bottom w:val="single" w:color="auto" w:sz="4" w:space="0"/>
              <w:right w:val="single" w:color="auto" w:sz="4" w:space="0"/>
            </w:tcBorders>
            <w:noWrap/>
            <w:vAlign w:val="center"/>
          </w:tcPr>
          <w:p w14:paraId="6EA1AF49">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4.24</w:t>
            </w:r>
          </w:p>
        </w:tc>
        <w:tc>
          <w:tcPr>
            <w:tcW w:w="1170" w:type="dxa"/>
            <w:tcBorders>
              <w:top w:val="nil"/>
              <w:left w:val="nil"/>
              <w:bottom w:val="single" w:color="auto" w:sz="4" w:space="0"/>
              <w:right w:val="single" w:color="auto" w:sz="4" w:space="0"/>
            </w:tcBorders>
            <w:noWrap/>
            <w:vAlign w:val="center"/>
          </w:tcPr>
          <w:p w14:paraId="6B10B3C2">
            <w:pPr>
              <w:spacing w:line="600" w:lineRule="exact"/>
              <w:ind w:firstLine="640" w:firstLineChars="200"/>
              <w:rPr>
                <w:rFonts w:ascii="仿宋_GB2312" w:hAnsi="仿宋_GB2312" w:eastAsia="仿宋_GB2312" w:cs="仿宋_GB2312"/>
                <w:sz w:val="32"/>
                <w:szCs w:val="32"/>
              </w:rPr>
            </w:pPr>
          </w:p>
        </w:tc>
      </w:tr>
      <w:tr w14:paraId="5485A7EF">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10BEED3F">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城北街道</w:t>
            </w:r>
          </w:p>
        </w:tc>
        <w:tc>
          <w:tcPr>
            <w:tcW w:w="950" w:type="dxa"/>
            <w:tcBorders>
              <w:top w:val="nil"/>
              <w:left w:val="nil"/>
              <w:bottom w:val="single" w:color="auto" w:sz="4" w:space="0"/>
              <w:right w:val="single" w:color="auto" w:sz="4" w:space="0"/>
            </w:tcBorders>
            <w:noWrap/>
            <w:vAlign w:val="center"/>
          </w:tcPr>
          <w:p w14:paraId="63FC2A69">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380</w:t>
            </w:r>
          </w:p>
        </w:tc>
        <w:tc>
          <w:tcPr>
            <w:tcW w:w="1233" w:type="dxa"/>
            <w:tcBorders>
              <w:top w:val="nil"/>
              <w:left w:val="nil"/>
              <w:bottom w:val="single" w:color="auto" w:sz="4" w:space="0"/>
              <w:right w:val="single" w:color="auto" w:sz="4" w:space="0"/>
            </w:tcBorders>
            <w:noWrap/>
            <w:vAlign w:val="center"/>
          </w:tcPr>
          <w:p w14:paraId="511DA858">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200</w:t>
            </w:r>
          </w:p>
        </w:tc>
        <w:tc>
          <w:tcPr>
            <w:tcW w:w="1717" w:type="dxa"/>
            <w:tcBorders>
              <w:top w:val="nil"/>
              <w:left w:val="nil"/>
              <w:bottom w:val="single" w:color="auto" w:sz="4" w:space="0"/>
              <w:right w:val="single" w:color="auto" w:sz="4" w:space="0"/>
            </w:tcBorders>
            <w:noWrap/>
            <w:vAlign w:val="center"/>
          </w:tcPr>
          <w:p w14:paraId="7FD805FC">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180</w:t>
            </w:r>
          </w:p>
        </w:tc>
        <w:tc>
          <w:tcPr>
            <w:tcW w:w="1516" w:type="dxa"/>
            <w:tcBorders>
              <w:top w:val="nil"/>
              <w:left w:val="nil"/>
              <w:bottom w:val="single" w:color="auto" w:sz="4" w:space="0"/>
              <w:right w:val="single" w:color="auto" w:sz="4" w:space="0"/>
            </w:tcBorders>
            <w:noWrap/>
            <w:vAlign w:val="center"/>
          </w:tcPr>
          <w:p w14:paraId="54ED5783">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12.8</w:t>
            </w:r>
          </w:p>
        </w:tc>
        <w:tc>
          <w:tcPr>
            <w:tcW w:w="1170" w:type="dxa"/>
            <w:tcBorders>
              <w:top w:val="nil"/>
              <w:left w:val="nil"/>
              <w:bottom w:val="single" w:color="auto" w:sz="4" w:space="0"/>
              <w:right w:val="single" w:color="auto" w:sz="4" w:space="0"/>
            </w:tcBorders>
            <w:noWrap/>
            <w:vAlign w:val="center"/>
          </w:tcPr>
          <w:p w14:paraId="5643908C">
            <w:pPr>
              <w:spacing w:line="600" w:lineRule="exact"/>
              <w:ind w:firstLine="640" w:firstLineChars="200"/>
              <w:rPr>
                <w:rFonts w:ascii="仿宋_GB2312" w:hAnsi="仿宋_GB2312" w:eastAsia="仿宋_GB2312" w:cs="仿宋_GB2312"/>
                <w:sz w:val="32"/>
                <w:szCs w:val="32"/>
              </w:rPr>
            </w:pPr>
          </w:p>
        </w:tc>
      </w:tr>
      <w:tr w14:paraId="55FF1BD1">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0B1F8187">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城西街道</w:t>
            </w:r>
          </w:p>
        </w:tc>
        <w:tc>
          <w:tcPr>
            <w:tcW w:w="950" w:type="dxa"/>
            <w:tcBorders>
              <w:top w:val="nil"/>
              <w:left w:val="nil"/>
              <w:bottom w:val="single" w:color="auto" w:sz="4" w:space="0"/>
              <w:right w:val="single" w:color="auto" w:sz="4" w:space="0"/>
            </w:tcBorders>
            <w:noWrap/>
            <w:vAlign w:val="center"/>
          </w:tcPr>
          <w:p w14:paraId="1409E573">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50</w:t>
            </w:r>
          </w:p>
        </w:tc>
        <w:tc>
          <w:tcPr>
            <w:tcW w:w="1233" w:type="dxa"/>
            <w:tcBorders>
              <w:top w:val="nil"/>
              <w:left w:val="nil"/>
              <w:bottom w:val="single" w:color="auto" w:sz="4" w:space="0"/>
              <w:right w:val="single" w:color="auto" w:sz="4" w:space="0"/>
            </w:tcBorders>
            <w:noWrap/>
            <w:vAlign w:val="center"/>
          </w:tcPr>
          <w:p w14:paraId="09C06756">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30</w:t>
            </w:r>
          </w:p>
        </w:tc>
        <w:tc>
          <w:tcPr>
            <w:tcW w:w="1717" w:type="dxa"/>
            <w:tcBorders>
              <w:top w:val="nil"/>
              <w:left w:val="nil"/>
              <w:bottom w:val="single" w:color="auto" w:sz="4" w:space="0"/>
              <w:right w:val="single" w:color="auto" w:sz="4" w:space="0"/>
            </w:tcBorders>
            <w:noWrap/>
            <w:vAlign w:val="center"/>
          </w:tcPr>
          <w:p w14:paraId="05A1C070">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20</w:t>
            </w:r>
          </w:p>
        </w:tc>
        <w:tc>
          <w:tcPr>
            <w:tcW w:w="1516" w:type="dxa"/>
            <w:tcBorders>
              <w:top w:val="nil"/>
              <w:left w:val="nil"/>
              <w:bottom w:val="single" w:color="auto" w:sz="4" w:space="0"/>
              <w:right w:val="single" w:color="auto" w:sz="4" w:space="0"/>
            </w:tcBorders>
            <w:noWrap/>
            <w:vAlign w:val="center"/>
          </w:tcPr>
          <w:p w14:paraId="448E8B37">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1.64</w:t>
            </w:r>
          </w:p>
        </w:tc>
        <w:tc>
          <w:tcPr>
            <w:tcW w:w="1170" w:type="dxa"/>
            <w:tcBorders>
              <w:top w:val="nil"/>
              <w:left w:val="nil"/>
              <w:bottom w:val="single" w:color="auto" w:sz="4" w:space="0"/>
              <w:right w:val="single" w:color="auto" w:sz="4" w:space="0"/>
            </w:tcBorders>
            <w:noWrap/>
            <w:vAlign w:val="center"/>
          </w:tcPr>
          <w:p w14:paraId="480C096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5372117">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3A5B51AC">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仁东镇</w:t>
            </w:r>
          </w:p>
        </w:tc>
        <w:tc>
          <w:tcPr>
            <w:tcW w:w="950" w:type="dxa"/>
            <w:tcBorders>
              <w:top w:val="nil"/>
              <w:left w:val="nil"/>
              <w:bottom w:val="single" w:color="auto" w:sz="4" w:space="0"/>
              <w:right w:val="single" w:color="auto" w:sz="4" w:space="0"/>
            </w:tcBorders>
            <w:noWrap/>
            <w:vAlign w:val="center"/>
          </w:tcPr>
          <w:p w14:paraId="05B23B4E">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400</w:t>
            </w:r>
          </w:p>
        </w:tc>
        <w:tc>
          <w:tcPr>
            <w:tcW w:w="1233" w:type="dxa"/>
            <w:tcBorders>
              <w:top w:val="nil"/>
              <w:left w:val="nil"/>
              <w:bottom w:val="single" w:color="auto" w:sz="4" w:space="0"/>
              <w:right w:val="single" w:color="auto" w:sz="4" w:space="0"/>
            </w:tcBorders>
            <w:noWrap/>
            <w:vAlign w:val="center"/>
          </w:tcPr>
          <w:p w14:paraId="2542218E">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250</w:t>
            </w:r>
          </w:p>
        </w:tc>
        <w:tc>
          <w:tcPr>
            <w:tcW w:w="1717" w:type="dxa"/>
            <w:tcBorders>
              <w:top w:val="nil"/>
              <w:left w:val="nil"/>
              <w:bottom w:val="single" w:color="auto" w:sz="4" w:space="0"/>
              <w:right w:val="single" w:color="auto" w:sz="4" w:space="0"/>
            </w:tcBorders>
            <w:noWrap/>
            <w:vAlign w:val="center"/>
          </w:tcPr>
          <w:p w14:paraId="05D9A3B3">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150</w:t>
            </w:r>
          </w:p>
        </w:tc>
        <w:tc>
          <w:tcPr>
            <w:tcW w:w="1516" w:type="dxa"/>
            <w:tcBorders>
              <w:top w:val="nil"/>
              <w:left w:val="nil"/>
              <w:bottom w:val="single" w:color="auto" w:sz="4" w:space="0"/>
              <w:right w:val="single" w:color="auto" w:sz="4" w:space="0"/>
            </w:tcBorders>
            <w:noWrap/>
            <w:vAlign w:val="center"/>
          </w:tcPr>
          <w:p w14:paraId="126E1928">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13</w:t>
            </w:r>
          </w:p>
        </w:tc>
        <w:tc>
          <w:tcPr>
            <w:tcW w:w="1170" w:type="dxa"/>
            <w:tcBorders>
              <w:top w:val="nil"/>
              <w:left w:val="nil"/>
              <w:bottom w:val="single" w:color="auto" w:sz="4" w:space="0"/>
              <w:right w:val="single" w:color="auto" w:sz="4" w:space="0"/>
            </w:tcBorders>
            <w:noWrap/>
            <w:vAlign w:val="center"/>
          </w:tcPr>
          <w:p w14:paraId="2E5D752C">
            <w:pPr>
              <w:spacing w:line="600" w:lineRule="exact"/>
              <w:ind w:firstLine="640" w:firstLineChars="200"/>
              <w:rPr>
                <w:rFonts w:ascii="仿宋_GB2312" w:hAnsi="仿宋_GB2312" w:eastAsia="仿宋_GB2312" w:cs="仿宋_GB2312"/>
                <w:sz w:val="32"/>
                <w:szCs w:val="32"/>
              </w:rPr>
            </w:pPr>
          </w:p>
        </w:tc>
      </w:tr>
      <w:tr w14:paraId="1F871C51">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1DDB5CE2">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仁厚镇</w:t>
            </w:r>
          </w:p>
        </w:tc>
        <w:tc>
          <w:tcPr>
            <w:tcW w:w="950" w:type="dxa"/>
            <w:tcBorders>
              <w:top w:val="nil"/>
              <w:left w:val="nil"/>
              <w:bottom w:val="single" w:color="auto" w:sz="4" w:space="0"/>
              <w:right w:val="single" w:color="auto" w:sz="4" w:space="0"/>
            </w:tcBorders>
            <w:noWrap/>
            <w:vAlign w:val="center"/>
          </w:tcPr>
          <w:p w14:paraId="56878075">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260</w:t>
            </w:r>
          </w:p>
        </w:tc>
        <w:tc>
          <w:tcPr>
            <w:tcW w:w="1233" w:type="dxa"/>
            <w:tcBorders>
              <w:top w:val="nil"/>
              <w:left w:val="nil"/>
              <w:bottom w:val="single" w:color="auto" w:sz="4" w:space="0"/>
              <w:right w:val="single" w:color="auto" w:sz="4" w:space="0"/>
            </w:tcBorders>
            <w:noWrap/>
            <w:vAlign w:val="center"/>
          </w:tcPr>
          <w:p w14:paraId="7FC0C6C2">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160</w:t>
            </w:r>
          </w:p>
        </w:tc>
        <w:tc>
          <w:tcPr>
            <w:tcW w:w="1717" w:type="dxa"/>
            <w:tcBorders>
              <w:top w:val="nil"/>
              <w:left w:val="nil"/>
              <w:bottom w:val="single" w:color="auto" w:sz="4" w:space="0"/>
              <w:right w:val="single" w:color="auto" w:sz="4" w:space="0"/>
            </w:tcBorders>
            <w:noWrap/>
            <w:vAlign w:val="center"/>
          </w:tcPr>
          <w:p w14:paraId="78860AF4">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100</w:t>
            </w:r>
          </w:p>
        </w:tc>
        <w:tc>
          <w:tcPr>
            <w:tcW w:w="1516" w:type="dxa"/>
            <w:tcBorders>
              <w:top w:val="nil"/>
              <w:left w:val="nil"/>
              <w:bottom w:val="single" w:color="auto" w:sz="4" w:space="0"/>
              <w:right w:val="single" w:color="auto" w:sz="4" w:space="0"/>
            </w:tcBorders>
            <w:noWrap/>
            <w:vAlign w:val="center"/>
          </w:tcPr>
          <w:p w14:paraId="7CFA450E">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8.48</w:t>
            </w:r>
          </w:p>
        </w:tc>
        <w:tc>
          <w:tcPr>
            <w:tcW w:w="1170" w:type="dxa"/>
            <w:tcBorders>
              <w:top w:val="nil"/>
              <w:left w:val="nil"/>
              <w:bottom w:val="single" w:color="auto" w:sz="4" w:space="0"/>
              <w:right w:val="single" w:color="auto" w:sz="4" w:space="0"/>
            </w:tcBorders>
            <w:noWrap/>
            <w:vAlign w:val="center"/>
          </w:tcPr>
          <w:p w14:paraId="2BA43477">
            <w:pPr>
              <w:spacing w:line="600" w:lineRule="exact"/>
              <w:ind w:firstLine="640" w:firstLineChars="200"/>
              <w:rPr>
                <w:rFonts w:ascii="仿宋_GB2312" w:hAnsi="仿宋_GB2312" w:eastAsia="仿宋_GB2312" w:cs="仿宋_GB2312"/>
                <w:sz w:val="32"/>
                <w:szCs w:val="32"/>
              </w:rPr>
            </w:pPr>
          </w:p>
        </w:tc>
      </w:tr>
      <w:tr w14:paraId="250A8ADC">
        <w:tblPrEx>
          <w:tblCellMar>
            <w:top w:w="0" w:type="dxa"/>
            <w:left w:w="108" w:type="dxa"/>
            <w:bottom w:w="0" w:type="dxa"/>
            <w:right w:w="108" w:type="dxa"/>
          </w:tblCellMar>
        </w:tblPrEx>
        <w:trPr>
          <w:trHeight w:val="702" w:hRule="atLeast"/>
        </w:trPr>
        <w:tc>
          <w:tcPr>
            <w:tcW w:w="2114" w:type="dxa"/>
            <w:tcBorders>
              <w:top w:val="nil"/>
              <w:left w:val="single" w:color="auto" w:sz="4" w:space="0"/>
              <w:bottom w:val="single" w:color="auto" w:sz="4" w:space="0"/>
              <w:right w:val="single" w:color="auto" w:sz="4" w:space="0"/>
            </w:tcBorders>
            <w:noWrap/>
            <w:vAlign w:val="center"/>
          </w:tcPr>
          <w:p w14:paraId="675226CF">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大塘镇</w:t>
            </w:r>
          </w:p>
        </w:tc>
        <w:tc>
          <w:tcPr>
            <w:tcW w:w="950" w:type="dxa"/>
            <w:tcBorders>
              <w:top w:val="nil"/>
              <w:left w:val="nil"/>
              <w:bottom w:val="single" w:color="auto" w:sz="4" w:space="0"/>
              <w:right w:val="single" w:color="auto" w:sz="4" w:space="0"/>
            </w:tcBorders>
            <w:noWrap/>
            <w:vAlign w:val="center"/>
          </w:tcPr>
          <w:p w14:paraId="4540E111">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150</w:t>
            </w:r>
          </w:p>
        </w:tc>
        <w:tc>
          <w:tcPr>
            <w:tcW w:w="1233" w:type="dxa"/>
            <w:tcBorders>
              <w:top w:val="nil"/>
              <w:left w:val="nil"/>
              <w:bottom w:val="single" w:color="auto" w:sz="4" w:space="0"/>
              <w:right w:val="single" w:color="auto" w:sz="4" w:space="0"/>
            </w:tcBorders>
            <w:noWrap/>
            <w:vAlign w:val="center"/>
          </w:tcPr>
          <w:p w14:paraId="5923A0A5">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100</w:t>
            </w:r>
          </w:p>
        </w:tc>
        <w:tc>
          <w:tcPr>
            <w:tcW w:w="1717" w:type="dxa"/>
            <w:tcBorders>
              <w:top w:val="nil"/>
              <w:left w:val="nil"/>
              <w:bottom w:val="single" w:color="auto" w:sz="4" w:space="0"/>
              <w:right w:val="single" w:color="auto" w:sz="4" w:space="0"/>
            </w:tcBorders>
            <w:noWrap/>
            <w:vAlign w:val="center"/>
          </w:tcPr>
          <w:p w14:paraId="7F236810">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50</w:t>
            </w:r>
          </w:p>
        </w:tc>
        <w:tc>
          <w:tcPr>
            <w:tcW w:w="1516" w:type="dxa"/>
            <w:tcBorders>
              <w:top w:val="nil"/>
              <w:left w:val="nil"/>
              <w:bottom w:val="single" w:color="auto" w:sz="4" w:space="0"/>
              <w:right w:val="single" w:color="auto" w:sz="4" w:space="0"/>
            </w:tcBorders>
            <w:noWrap/>
            <w:vAlign w:val="center"/>
          </w:tcPr>
          <w:p w14:paraId="279950FC">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4.8</w:t>
            </w:r>
          </w:p>
        </w:tc>
        <w:tc>
          <w:tcPr>
            <w:tcW w:w="1170" w:type="dxa"/>
            <w:tcBorders>
              <w:top w:val="nil"/>
              <w:left w:val="nil"/>
              <w:bottom w:val="single" w:color="auto" w:sz="4" w:space="0"/>
              <w:right w:val="single" w:color="auto" w:sz="4" w:space="0"/>
            </w:tcBorders>
            <w:noWrap/>
            <w:vAlign w:val="center"/>
          </w:tcPr>
          <w:p w14:paraId="431630C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CE5ED3C">
        <w:tblPrEx>
          <w:tblCellMar>
            <w:top w:w="0" w:type="dxa"/>
            <w:left w:w="108" w:type="dxa"/>
            <w:bottom w:w="0" w:type="dxa"/>
            <w:right w:w="108" w:type="dxa"/>
          </w:tblCellMar>
        </w:tblPrEx>
        <w:trPr>
          <w:trHeight w:val="930" w:hRule="atLeast"/>
        </w:trPr>
        <w:tc>
          <w:tcPr>
            <w:tcW w:w="2114" w:type="dxa"/>
            <w:tcBorders>
              <w:top w:val="nil"/>
              <w:left w:val="single" w:color="auto" w:sz="4" w:space="0"/>
              <w:bottom w:val="single" w:color="auto" w:sz="4" w:space="0"/>
              <w:right w:val="single" w:color="auto" w:sz="4" w:space="0"/>
            </w:tcBorders>
            <w:noWrap/>
            <w:vAlign w:val="center"/>
          </w:tcPr>
          <w:p w14:paraId="42B2A822">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茂林镇</w:t>
            </w:r>
          </w:p>
        </w:tc>
        <w:tc>
          <w:tcPr>
            <w:tcW w:w="950" w:type="dxa"/>
            <w:tcBorders>
              <w:top w:val="nil"/>
              <w:left w:val="nil"/>
              <w:bottom w:val="single" w:color="auto" w:sz="4" w:space="0"/>
              <w:right w:val="single" w:color="auto" w:sz="4" w:space="0"/>
            </w:tcBorders>
            <w:noWrap/>
            <w:vAlign w:val="center"/>
          </w:tcPr>
          <w:p w14:paraId="793CD85B">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800</w:t>
            </w:r>
          </w:p>
        </w:tc>
        <w:tc>
          <w:tcPr>
            <w:tcW w:w="1233" w:type="dxa"/>
            <w:tcBorders>
              <w:top w:val="nil"/>
              <w:left w:val="nil"/>
              <w:bottom w:val="single" w:color="auto" w:sz="4" w:space="0"/>
              <w:right w:val="single" w:color="auto" w:sz="4" w:space="0"/>
            </w:tcBorders>
            <w:noWrap/>
            <w:vAlign w:val="center"/>
          </w:tcPr>
          <w:p w14:paraId="2E3EECFC">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450</w:t>
            </w:r>
          </w:p>
        </w:tc>
        <w:tc>
          <w:tcPr>
            <w:tcW w:w="1717" w:type="dxa"/>
            <w:tcBorders>
              <w:top w:val="nil"/>
              <w:left w:val="nil"/>
              <w:bottom w:val="single" w:color="auto" w:sz="4" w:space="0"/>
              <w:right w:val="single" w:color="auto" w:sz="4" w:space="0"/>
            </w:tcBorders>
            <w:noWrap/>
            <w:vAlign w:val="center"/>
          </w:tcPr>
          <w:p w14:paraId="25EE1B93">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350</w:t>
            </w:r>
          </w:p>
        </w:tc>
        <w:tc>
          <w:tcPr>
            <w:tcW w:w="1516" w:type="dxa"/>
            <w:tcBorders>
              <w:top w:val="nil"/>
              <w:left w:val="nil"/>
              <w:bottom w:val="single" w:color="auto" w:sz="4" w:space="0"/>
              <w:right w:val="single" w:color="auto" w:sz="4" w:space="0"/>
            </w:tcBorders>
            <w:noWrap/>
            <w:vAlign w:val="center"/>
          </w:tcPr>
          <w:p w14:paraId="1C56EDDD">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26.6</w:t>
            </w:r>
          </w:p>
        </w:tc>
        <w:tc>
          <w:tcPr>
            <w:tcW w:w="1170" w:type="dxa"/>
            <w:tcBorders>
              <w:top w:val="nil"/>
              <w:left w:val="nil"/>
              <w:bottom w:val="single" w:color="auto" w:sz="4" w:space="0"/>
              <w:right w:val="single" w:color="auto" w:sz="4" w:space="0"/>
            </w:tcBorders>
            <w:vAlign w:val="center"/>
          </w:tcPr>
          <w:p w14:paraId="6479540A">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玉东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新区</w:t>
            </w:r>
          </w:p>
        </w:tc>
      </w:tr>
    </w:tbl>
    <w:p w14:paraId="24C744BE">
      <w:pPr>
        <w:spacing w:line="600" w:lineRule="exact"/>
        <w:ind w:right="640"/>
        <w:rPr>
          <w:rFonts w:ascii="方正小标宋简体" w:hAnsi="仿宋_GB2312" w:eastAsia="方正小标宋简体"/>
          <w:sz w:val="32"/>
          <w:szCs w:val="32"/>
        </w:rPr>
      </w:pPr>
    </w:p>
    <w:p w14:paraId="519B6EDA">
      <w:pPr>
        <w:spacing w:line="600" w:lineRule="exact"/>
        <w:ind w:right="640"/>
        <w:rPr>
          <w:rFonts w:ascii="方正小标宋简体" w:hAnsi="仿宋_GB2312" w:eastAsia="方正小标宋简体"/>
          <w:sz w:val="32"/>
          <w:szCs w:val="32"/>
        </w:rPr>
      </w:pPr>
    </w:p>
    <w:p w14:paraId="5A3FF875">
      <w:pPr>
        <w:spacing w:line="600" w:lineRule="exact"/>
        <w:ind w:right="640"/>
        <w:rPr>
          <w:rFonts w:ascii="方正小标宋简体" w:hAnsi="仿宋_GB2312" w:eastAsia="方正小标宋简体"/>
          <w:sz w:val="32"/>
          <w:szCs w:val="32"/>
        </w:rPr>
      </w:pPr>
    </w:p>
    <w:p w14:paraId="30D0BB1D">
      <w:pPr>
        <w:spacing w:line="600" w:lineRule="exact"/>
        <w:ind w:right="640"/>
        <w:rPr>
          <w:rFonts w:ascii="方正小标宋简体" w:hAnsi="仿宋_GB2312" w:eastAsia="方正小标宋简体"/>
          <w:sz w:val="32"/>
          <w:szCs w:val="32"/>
        </w:rPr>
      </w:pPr>
    </w:p>
    <w:p w14:paraId="58A3C9D7">
      <w:pPr>
        <w:spacing w:line="600" w:lineRule="exact"/>
        <w:ind w:right="640"/>
        <w:rPr>
          <w:rFonts w:ascii="方正小标宋简体" w:hAnsi="仿宋_GB2312" w:eastAsia="方正小标宋简体"/>
          <w:sz w:val="32"/>
          <w:szCs w:val="32"/>
        </w:rPr>
      </w:pPr>
    </w:p>
    <w:p w14:paraId="3BF04E4C">
      <w:pPr>
        <w:spacing w:line="600" w:lineRule="exact"/>
        <w:ind w:right="640"/>
        <w:rPr>
          <w:rFonts w:ascii="方正小标宋简体" w:hAnsi="仿宋_GB2312" w:eastAsia="方正小标宋简体"/>
          <w:sz w:val="32"/>
          <w:szCs w:val="32"/>
        </w:rPr>
      </w:pPr>
    </w:p>
    <w:p w14:paraId="452DF856">
      <w:pPr>
        <w:spacing w:line="600" w:lineRule="exact"/>
        <w:ind w:right="640"/>
        <w:rPr>
          <w:rFonts w:ascii="方正小标宋简体" w:hAnsi="仿宋_GB2312" w:eastAsia="方正小标宋简体"/>
          <w:sz w:val="32"/>
          <w:szCs w:val="32"/>
        </w:rPr>
      </w:pPr>
    </w:p>
    <w:p w14:paraId="3EEDAEBA">
      <w:pPr>
        <w:spacing w:line="600" w:lineRule="exact"/>
        <w:ind w:right="640"/>
        <w:rPr>
          <w:rFonts w:ascii="方正小标宋简体" w:hAnsi="仿宋_GB2312" w:eastAsia="方正小标宋简体"/>
          <w:sz w:val="32"/>
          <w:szCs w:val="32"/>
        </w:rPr>
      </w:pPr>
    </w:p>
    <w:p w14:paraId="1E95E897">
      <w:pPr>
        <w:spacing w:line="600" w:lineRule="exact"/>
        <w:ind w:right="640"/>
        <w:rPr>
          <w:rFonts w:ascii="方正小标宋简体" w:hAnsi="仿宋_GB2312" w:eastAsia="方正小标宋简体"/>
          <w:sz w:val="32"/>
          <w:szCs w:val="32"/>
        </w:rPr>
      </w:pPr>
    </w:p>
    <w:p w14:paraId="3E203F57">
      <w:pPr>
        <w:spacing w:line="600" w:lineRule="exact"/>
        <w:ind w:right="640"/>
        <w:rPr>
          <w:rFonts w:ascii="方正小标宋简体" w:hAnsi="仿宋_GB2312" w:eastAsia="方正小标宋简体"/>
          <w:sz w:val="32"/>
          <w:szCs w:val="32"/>
        </w:rPr>
      </w:pPr>
    </w:p>
    <w:p w14:paraId="47769CC9">
      <w:pPr>
        <w:spacing w:line="600" w:lineRule="exact"/>
        <w:ind w:right="640"/>
        <w:rPr>
          <w:rFonts w:ascii="方正小标宋简体" w:hAnsi="仿宋_GB2312" w:eastAsia="方正小标宋简体"/>
          <w:sz w:val="32"/>
          <w:szCs w:val="32"/>
        </w:rPr>
      </w:pPr>
    </w:p>
    <w:p w14:paraId="5AB0FBCC">
      <w:pPr>
        <w:spacing w:line="600" w:lineRule="exact"/>
        <w:ind w:right="640"/>
        <w:rPr>
          <w:rFonts w:ascii="方正小标宋简体" w:hAnsi="仿宋_GB2312" w:eastAsia="方正小标宋简体"/>
          <w:sz w:val="32"/>
          <w:szCs w:val="32"/>
        </w:rPr>
      </w:pPr>
    </w:p>
    <w:p w14:paraId="592BCAC0">
      <w:pPr>
        <w:spacing w:line="600" w:lineRule="exact"/>
        <w:ind w:right="640"/>
        <w:rPr>
          <w:rFonts w:ascii="方正小标宋简体" w:hAnsi="仿宋_GB2312" w:eastAsia="方正小标宋简体"/>
          <w:sz w:val="32"/>
          <w:szCs w:val="32"/>
        </w:rPr>
      </w:pPr>
    </w:p>
    <w:p w14:paraId="61D9C9CE">
      <w:pPr>
        <w:spacing w:line="600" w:lineRule="exact"/>
        <w:ind w:right="640"/>
        <w:rPr>
          <w:rFonts w:ascii="方正小标宋简体" w:hAnsi="仿宋_GB2312" w:eastAsia="方正小标宋简体"/>
          <w:sz w:val="32"/>
          <w:szCs w:val="32"/>
        </w:rPr>
      </w:pPr>
    </w:p>
    <w:p w14:paraId="2078B4E2">
      <w:pPr>
        <w:spacing w:line="600" w:lineRule="exact"/>
        <w:ind w:right="640"/>
        <w:rPr>
          <w:rFonts w:ascii="方正小标宋简体" w:hAnsi="仿宋_GB2312" w:eastAsia="方正小标宋简体"/>
          <w:sz w:val="32"/>
          <w:szCs w:val="32"/>
        </w:rPr>
      </w:pPr>
    </w:p>
    <w:p w14:paraId="54F40E5F">
      <w:pPr>
        <w:spacing w:line="600" w:lineRule="exact"/>
        <w:ind w:right="640"/>
        <w:rPr>
          <w:rFonts w:ascii="方正小标宋简体" w:hAnsi="仿宋_GB2312" w:eastAsia="方正小标宋简体"/>
          <w:sz w:val="32"/>
          <w:szCs w:val="32"/>
        </w:rPr>
      </w:pPr>
    </w:p>
    <w:p w14:paraId="7417FF80">
      <w:pPr>
        <w:spacing w:line="600" w:lineRule="exact"/>
        <w:ind w:right="640"/>
        <w:rPr>
          <w:rFonts w:ascii="方正小标宋简体" w:hAnsi="仿宋_GB2312" w:eastAsia="方正小标宋简体"/>
          <w:sz w:val="32"/>
          <w:szCs w:val="32"/>
        </w:rPr>
      </w:pPr>
    </w:p>
    <w:p w14:paraId="4E223653">
      <w:pPr>
        <w:spacing w:line="600" w:lineRule="exact"/>
        <w:ind w:right="640"/>
        <w:rPr>
          <w:rFonts w:ascii="方正小标宋简体" w:hAnsi="仿宋_GB2312" w:eastAsia="方正小标宋简体"/>
          <w:sz w:val="32"/>
          <w:szCs w:val="32"/>
        </w:rPr>
      </w:pPr>
    </w:p>
    <w:p w14:paraId="555556D6">
      <w:pPr>
        <w:spacing w:line="600" w:lineRule="exact"/>
        <w:ind w:right="640"/>
        <w:rPr>
          <w:rFonts w:ascii="方正小标宋简体" w:hAnsi="仿宋_GB2312" w:eastAsia="方正小标宋简体"/>
          <w:sz w:val="32"/>
          <w:szCs w:val="32"/>
        </w:rPr>
      </w:pPr>
    </w:p>
    <w:p w14:paraId="01B06AE0">
      <w:pPr>
        <w:spacing w:line="600" w:lineRule="exact"/>
        <w:ind w:right="640"/>
        <w:rPr>
          <w:rFonts w:ascii="仿宋_GB2312" w:hAnsi="仿宋_GB2312" w:eastAsia="仿宋_GB2312" w:cs="仿宋_GB2312"/>
          <w:sz w:val="28"/>
          <w:szCs w:val="28"/>
        </w:rPr>
      </w:pPr>
      <w:r>
        <w:rPr>
          <w:rFonts w:hint="eastAsia" w:ascii="方正小标宋简体" w:hAnsi="仿宋_GB2312" w:eastAsia="方正小标宋简体"/>
          <w:sz w:val="32"/>
          <w:szCs w:val="32"/>
        </w:rPr>
        <w:t>公开属性：</w:t>
      </w:r>
      <w:r>
        <w:rPr>
          <w:rFonts w:hint="eastAsia" w:ascii="黑体" w:hAnsi="仿宋_GB2312" w:eastAsia="黑体"/>
          <w:sz w:val="32"/>
          <w:szCs w:val="32"/>
        </w:rPr>
        <w:t>依申请公开</w:t>
      </w:r>
    </w:p>
    <w:p w14:paraId="062C85CD">
      <w:pPr>
        <w:spacing w:line="600" w:lineRule="exact"/>
        <w:ind w:firstLine="280" w:firstLineChars="100"/>
        <w:rPr>
          <w:rFonts w:ascii="仿宋_GB2312" w:hAnsi="仿宋_GB2312" w:eastAsia="仿宋_GB2312" w:cs="仿宋_GB2312"/>
          <w:sz w:val="28"/>
          <w:szCs w:val="28"/>
        </w:rPr>
      </w:pPr>
    </w:p>
    <w:p w14:paraId="63346853">
      <w:pPr>
        <w:spacing w:line="600" w:lineRule="exact"/>
        <w:ind w:firstLine="210" w:firstLineChars="100"/>
      </w:pPr>
      <w:r>
        <w:pict>
          <v:line id="_x0000_s1028" o:spid="_x0000_s1028" o:spt="20" style="position:absolute;left:0pt;margin-left:2.1pt;margin-top:4.95pt;height:0.05pt;width:451.5pt;z-index:251660288;mso-width-relative:page;mso-height-relative:page;" coordsize="21600,21600">
            <v:path arrowok="t"/>
            <v:fill focussize="0,0"/>
            <v:stroke/>
            <v:imagedata o:title=""/>
            <o:lock v:ext="edit"/>
          </v:line>
        </w:pict>
      </w:r>
      <w:r>
        <w:pict>
          <v:line id="_x0000_s1029" o:spid="_x0000_s1029" o:spt="20" style="position:absolute;left:0pt;margin-left:0.85pt;margin-top:28.45pt;height:0.05pt;width:452.25pt;z-index:251661312;mso-width-relative:page;mso-height-relative:page;" coordsize="21600,21600">
            <v:path arrowok="t"/>
            <v:fill focussize="0,0"/>
            <v:stroke/>
            <v:imagedata o:title=""/>
            <o:lock v:ext="edit"/>
          </v:line>
        </w:pict>
      </w:r>
      <w:r>
        <w:rPr>
          <w:rFonts w:hint="eastAsia" w:ascii="仿宋_GB2312" w:hAnsi="仿宋_GB2312" w:eastAsia="仿宋_GB2312" w:cs="仿宋_GB2312"/>
          <w:sz w:val="28"/>
          <w:szCs w:val="28"/>
        </w:rPr>
        <w:t>玉林市玉州区人民政府办公室</w:t>
      </w:r>
      <w:r>
        <w:rPr>
          <w:rFonts w:ascii="仿宋_GB2312" w:hAnsi="仿宋_GB2312" w:eastAsia="仿宋_GB2312" w:cs="仿宋_GB2312"/>
          <w:sz w:val="28"/>
          <w:szCs w:val="28"/>
        </w:rPr>
        <w:t xml:space="preserve">                 2023</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日印发</w:t>
      </w:r>
      <w:r>
        <w:pict>
          <v:shape id="图片 7" o:spid="_x0000_s1030" o:spt="75" alt="/tmp/公文二维码v168869866349949.png" type="#_x0000_t75" style="position:absolute;left:0pt;margin-left:375.3pt;margin-top:761.9pt;height:37.5pt;width:141pt;mso-position-horizontal-relative:page;mso-position-vertical-relative:page;z-index:251662336;mso-width-relative:page;mso-height-relative:page;" filled="f" o:preferrelative="t" stroked="f" coordsize="21600,21600">
            <v:path/>
            <v:fill on="f" focussize="0,0"/>
            <v:stroke on="f" joinstyle="miter"/>
            <v:imagedata r:id="rId8" r:href="rId9" o:title=""/>
            <o:lock v:ext="edit" aspectratio="t"/>
          </v:shape>
        </w:pict>
      </w:r>
      <w:r>
        <w:pict>
          <v:shape id="图片 8" o:spid="_x0000_s1031" o:spt="75" alt="/tmp/公文二维码v168869928173293.png" type="#_x0000_t75" style="position:absolute;left:0pt;margin-left:375.3pt;margin-top:761.9pt;height:37.5pt;width:141pt;mso-position-horizontal-relative:page;mso-position-vertical-relative:page;z-index:251663360;mso-width-relative:page;mso-height-relative:page;" filled="f" o:preferrelative="t" stroked="f" coordsize="21600,21600">
            <v:path/>
            <v:fill on="f" focussize="0,0"/>
            <v:stroke on="f" joinstyle="miter"/>
            <v:imagedata r:id="rId8" r:href="rId9" o:title=""/>
            <o:lock v:ext="edit" aspectratio="t"/>
          </v:shape>
        </w:pict>
      </w:r>
    </w:p>
    <w:sectPr>
      <w:headerReference r:id="rId3" w:type="default"/>
      <w:footerReference r:id="rId4"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A5B9">
    <w:pPr>
      <w:pStyle w:val="4"/>
      <w:ind w:right="360" w:firstLine="360"/>
      <w:rPr>
        <w:rFonts w:eastAsia="仿宋_GB2312"/>
      </w:rPr>
    </w:pPr>
    <w: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74FF580">
                <w:pPr>
                  <w:pStyle w:val="4"/>
                  <w:wordWrap w:val="0"/>
                  <w:jc w:val="right"/>
                  <w:rPr>
                    <w:rStyle w:val="9"/>
                    <w:rFonts w:eastAsia="仿宋_GB2312"/>
                    <w:sz w:val="28"/>
                    <w:szCs w:val="28"/>
                  </w:rPr>
                </w:pPr>
                <w:r>
                  <w:rPr>
                    <w:rStyle w:val="9"/>
                    <w:rFonts w:eastAsia="仿宋_GB2312"/>
                    <w:sz w:val="28"/>
                    <w:szCs w:val="28"/>
                  </w:rPr>
                  <w:t xml:space="preserve">— </w:t>
                </w:r>
                <w:r>
                  <w:rPr>
                    <w:rStyle w:val="9"/>
                    <w:rFonts w:eastAsia="仿宋_GB2312"/>
                    <w:sz w:val="28"/>
                    <w:szCs w:val="28"/>
                  </w:rPr>
                  <w:fldChar w:fldCharType="begin"/>
                </w:r>
                <w:r>
                  <w:rPr>
                    <w:rStyle w:val="9"/>
                    <w:rFonts w:eastAsia="仿宋_GB2312"/>
                    <w:sz w:val="28"/>
                    <w:szCs w:val="28"/>
                  </w:rPr>
                  <w:instrText xml:space="preserve"> PAGE  \* MERGEFORMAT </w:instrText>
                </w:r>
                <w:r>
                  <w:rPr>
                    <w:rStyle w:val="9"/>
                    <w:rFonts w:eastAsia="仿宋_GB2312"/>
                    <w:sz w:val="28"/>
                    <w:szCs w:val="28"/>
                  </w:rPr>
                  <w:fldChar w:fldCharType="separate"/>
                </w:r>
                <w:r>
                  <w:rPr>
                    <w:rStyle w:val="9"/>
                    <w:rFonts w:eastAsia="仿宋_GB2312"/>
                    <w:sz w:val="28"/>
                    <w:szCs w:val="28"/>
                  </w:rPr>
                  <w:t>4</w:t>
                </w:r>
                <w:r>
                  <w:rPr>
                    <w:rStyle w:val="9"/>
                    <w:rFonts w:eastAsia="仿宋_GB2312"/>
                    <w:sz w:val="28"/>
                    <w:szCs w:val="28"/>
                  </w:rPr>
                  <w:fldChar w:fldCharType="end"/>
                </w:r>
                <w:r>
                  <w:rPr>
                    <w:rStyle w:val="9"/>
                    <w:rFonts w:eastAsia="仿宋_GB2312"/>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3A9E">
    <w:pPr>
      <w:pStyle w:val="6"/>
      <w:pBdr>
        <w:top w:val="none" w:color="auto" w:sz="0" w:space="0"/>
        <w:left w:val="none" w:color="auto" w:sz="0" w:space="0"/>
        <w:bottom w:val="none" w:color="auto" w:sz="0" w:space="0"/>
        <w:right w:val="none" w:color="auto" w:sz="0" w:space="0"/>
      </w:pBdr>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6E50C"/>
    <w:multiLevelType w:val="singleLevel"/>
    <w:tmpl w:val="EF36E50C"/>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FDF8C1B"/>
    <w:rsid w:val="002B4628"/>
    <w:rsid w:val="00752B9F"/>
    <w:rsid w:val="00815439"/>
    <w:rsid w:val="00D86290"/>
    <w:rsid w:val="00DB5DF5"/>
    <w:rsid w:val="0D1450F4"/>
    <w:rsid w:val="488E6188"/>
    <w:rsid w:val="5FF58981"/>
    <w:rsid w:val="6FD0773E"/>
    <w:rsid w:val="6FFF3939"/>
    <w:rsid w:val="73749CAA"/>
    <w:rsid w:val="77BE180D"/>
    <w:rsid w:val="7BCE8FE1"/>
    <w:rsid w:val="7D9DD382"/>
    <w:rsid w:val="AF7BC352"/>
    <w:rsid w:val="DECEC882"/>
    <w:rsid w:val="F7FFD2FD"/>
    <w:rsid w:val="FA77BF34"/>
    <w:rsid w:val="FDE792A3"/>
    <w:rsid w:val="FFDF8C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qFormat/>
    <w:uiPriority w:val="99"/>
    <w:pPr>
      <w:keepNext/>
      <w:keepLines/>
      <w:spacing w:before="260" w:after="260" w:line="416" w:lineRule="auto"/>
      <w:outlineLvl w:val="2"/>
    </w:pPr>
    <w:rPr>
      <w:rFonts w:ascii="Calibri" w:hAnsi="Calibri" w:cs="黑体"/>
      <w:b/>
      <w:bCs/>
      <w:sz w:val="32"/>
      <w:szCs w:val="32"/>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iPriority w:val="99"/>
    <w:rPr>
      <w:sz w:val="18"/>
      <w:szCs w:val="18"/>
    </w:rPr>
  </w:style>
  <w:style w:type="paragraph" w:styleId="4">
    <w:name w:val="footer"/>
    <w:basedOn w:val="1"/>
    <w:next w:val="5"/>
    <w:link w:val="11"/>
    <w:uiPriority w:val="99"/>
    <w:pPr>
      <w:tabs>
        <w:tab w:val="center" w:pos="4153"/>
        <w:tab w:val="right" w:pos="8306"/>
      </w:tabs>
      <w:snapToGrid w:val="0"/>
      <w:jc w:val="left"/>
    </w:pPr>
    <w:rPr>
      <w:sz w:val="18"/>
      <w:szCs w:val="18"/>
    </w:rPr>
  </w:style>
  <w:style w:type="paragraph" w:customStyle="1" w:styleId="5">
    <w:name w:val="列出段落1"/>
    <w:basedOn w:val="1"/>
    <w:uiPriority w:val="99"/>
    <w:pPr>
      <w:widowControl/>
      <w:ind w:firstLine="420" w:firstLineChars="200"/>
      <w:jc w:val="left"/>
    </w:pPr>
    <w:rPr>
      <w:kern w:val="0"/>
      <w:sz w:val="24"/>
    </w:rPr>
  </w:style>
  <w:style w:type="paragraph" w:styleId="6">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99"/>
    <w:rPr>
      <w:rFonts w:cs="Times New Roman"/>
    </w:rPr>
  </w:style>
  <w:style w:type="character" w:customStyle="1" w:styleId="10">
    <w:name w:val="Heading 3 Char"/>
    <w:basedOn w:val="8"/>
    <w:link w:val="2"/>
    <w:semiHidden/>
    <w:uiPriority w:val="9"/>
    <w:rPr>
      <w:rFonts w:ascii="Times New Roman" w:hAnsi="Times New Roman"/>
      <w:b/>
      <w:bCs/>
      <w:sz w:val="32"/>
      <w:szCs w:val="32"/>
    </w:rPr>
  </w:style>
  <w:style w:type="character" w:customStyle="1" w:styleId="11">
    <w:name w:val="Footer Char"/>
    <w:basedOn w:val="8"/>
    <w:link w:val="4"/>
    <w:semiHidden/>
    <w:uiPriority w:val="99"/>
    <w:rPr>
      <w:rFonts w:ascii="Times New Roman" w:hAnsi="Times New Roman"/>
      <w:sz w:val="18"/>
      <w:szCs w:val="18"/>
    </w:rPr>
  </w:style>
  <w:style w:type="character" w:customStyle="1" w:styleId="12">
    <w:name w:val="Header Char"/>
    <w:basedOn w:val="8"/>
    <w:link w:val="6"/>
    <w:semiHidden/>
    <w:uiPriority w:val="99"/>
    <w:rPr>
      <w:rFonts w:ascii="Times New Roman" w:hAnsi="Times New Roman"/>
      <w:sz w:val="18"/>
      <w:szCs w:val="18"/>
    </w:rPr>
  </w:style>
  <w:style w:type="paragraph" w:customStyle="1" w:styleId="13">
    <w:name w:val="公文标题"/>
    <w:basedOn w:val="1"/>
    <w:next w:val="1"/>
    <w:qFormat/>
    <w:uiPriority w:val="99"/>
    <w:pPr>
      <w:spacing w:line="600" w:lineRule="exact"/>
      <w:jc w:val="center"/>
    </w:pPr>
    <w:rPr>
      <w:rFonts w:eastAsia="方正小标宋简体"/>
      <w:sz w:val="44"/>
    </w:rPr>
  </w:style>
  <w:style w:type="paragraph" w:customStyle="1" w:styleId="14">
    <w:name w:val="公文正文"/>
    <w:basedOn w:val="1"/>
    <w:qFormat/>
    <w:uiPriority w:val="99"/>
    <w:pPr>
      <w:spacing w:line="600" w:lineRule="exact"/>
      <w:ind w:firstLine="632" w:firstLineChars="200"/>
    </w:pPr>
    <w:rPr>
      <w:rFonts w:eastAsia="仿宋_GB2312"/>
      <w:sz w:val="32"/>
    </w:rPr>
  </w:style>
  <w:style w:type="paragraph" w:customStyle="1" w:styleId="15">
    <w:name w:val="公文版记"/>
    <w:basedOn w:val="1"/>
    <w:qFormat/>
    <w:uiPriority w:val="99"/>
    <w:pPr>
      <w:pBdr>
        <w:top w:val="single" w:color="auto" w:sz="8" w:space="1"/>
        <w:left w:val="none" w:color="auto" w:sz="0" w:space="4"/>
        <w:bottom w:val="single" w:color="auto" w:sz="8" w:space="1"/>
        <w:right w:val="none" w:color="auto" w:sz="0" w:space="4"/>
      </w:pBdr>
      <w:spacing w:line="400" w:lineRule="exact"/>
    </w:pPr>
    <w:rPr>
      <w:rFonts w:eastAsia="仿宋_GB2312"/>
      <w:sz w:val="28"/>
    </w:rPr>
  </w:style>
  <w:style w:type="paragraph" w:customStyle="1" w:styleId="16">
    <w:name w:val="公文一级标题"/>
    <w:basedOn w:val="1"/>
    <w:qFormat/>
    <w:uiPriority w:val="99"/>
    <w:pPr>
      <w:spacing w:line="600" w:lineRule="exact"/>
      <w:ind w:firstLine="632" w:firstLineChars="200"/>
    </w:pPr>
    <w:rPr>
      <w:rFonts w:eastAsia="黑体"/>
      <w:sz w:val="32"/>
    </w:rPr>
  </w:style>
  <w:style w:type="paragraph" w:customStyle="1" w:styleId="17">
    <w:name w:val="公文二级标题"/>
    <w:basedOn w:val="1"/>
    <w:qFormat/>
    <w:uiPriority w:val="99"/>
    <w:pPr>
      <w:spacing w:line="600" w:lineRule="exact"/>
      <w:ind w:firstLine="632" w:firstLineChars="200"/>
    </w:pPr>
    <w:rPr>
      <w:rFonts w:eastAsia="楷体_GB2312"/>
      <w:sz w:val="32"/>
    </w:rPr>
  </w:style>
  <w:style w:type="paragraph" w:customStyle="1" w:styleId="18">
    <w:name w:val="正文文本1"/>
    <w:basedOn w:val="1"/>
    <w:qFormat/>
    <w:uiPriority w:val="99"/>
    <w:pPr>
      <w:shd w:val="clear" w:color="auto" w:fill="FFFFFF"/>
      <w:spacing w:before="420" w:line="590" w:lineRule="exact"/>
      <w:jc w:val="left"/>
    </w:pPr>
    <w:rPr>
      <w:rFonts w:ascii="MingLiU" w:hAnsi="MingLiU" w:eastAsia="MingLiU"/>
      <w:kern w:val="0"/>
      <w:sz w:val="28"/>
      <w:szCs w:val="28"/>
    </w:rPr>
  </w:style>
  <w:style w:type="character" w:customStyle="1" w:styleId="19">
    <w:name w:val="Balloon Text Char"/>
    <w:basedOn w:val="8"/>
    <w:link w:val="3"/>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9" Type="http://schemas.openxmlformats.org/officeDocument/2006/relationships/image" Target="\tmp\&#20844;&#25991;&#20108;&#32500;&#30721;v168869928173293.png" TargetMode="External"/><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7550</Words>
  <Characters>7814</Characters>
  <Lines>0</Lines>
  <Paragraphs>0</Paragraphs>
  <TotalTime>7</TotalTime>
  <ScaleCrop>false</ScaleCrop>
  <LinksUpToDate>false</LinksUpToDate>
  <CharactersWithSpaces>7984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2023-07-08T02:52:00Z</dcterms:created>
  <dc:creator>杜思颖</dc:creator>
  <cp:lastModifiedBy>Administrator</cp:lastModifiedBy>
  <dcterms:modified xsi:type="dcterms:W3CDTF">2025-05-06T03:53:16Z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4E962E902AF2488D89E911895CA540E2_13</vt:lpwstr>
  </property>
  <property fmtid="{D5CDD505-2E9C-101B-9397-08002B2CF9AE}" pid="4" name="KSOTemplateDocerSaveRecord">
    <vt:lpwstr>eyJoZGlkIjoiMDQ5NzQ5Y2RjMDViY2VjZmY0MWE1NmQ3ZjQyOTQ1M2QifQ==</vt:lpwstr>
  </property>
</Properties>
</file>